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framePr w:w="2741"/>
        <w:rPr>
          <w:rFonts w:hint="eastAsia"/>
          <w:lang w:val="en-US" w:eastAsia="zh-CN"/>
        </w:rPr>
      </w:pPr>
      <w:r>
        <w:rPr>
          <w:rFonts w:hint="eastAsia"/>
          <w:lang w:val="en-US" w:eastAsia="zh-CN"/>
        </w:rPr>
        <w:t>ICS </w:t>
      </w:r>
    </w:p>
    <w:p>
      <w:pPr>
        <w:pStyle w:val="119"/>
        <w:framePr w:w="2741"/>
        <w:rPr>
          <w:rFonts w:hint="default" w:eastAsia="黑体"/>
          <w:lang w:val="en-US" w:eastAsia="zh-CN"/>
        </w:rPr>
      </w:pPr>
      <w:r>
        <w:rPr>
          <w:rFonts w:hint="eastAsia"/>
          <w:lang w:val="en-US" w:eastAsia="zh-CN"/>
        </w:rPr>
        <w:t>CCS</w:t>
      </w:r>
    </w:p>
    <w:p>
      <w:pPr>
        <w:pStyle w:val="79"/>
        <w:framePr w:w="2516" w:h="1119" w:hRule="exact" w:x="7607" w:y="1752"/>
      </w:pPr>
      <w:r>
        <w:fldChar w:fldCharType="begin">
          <w:ffData>
            <w:name w:val="c5"/>
            <w:enabled/>
            <w:calcOnExit w:val="0"/>
            <w:textInput/>
          </w:ffData>
        </w:fldChar>
      </w:r>
      <w:bookmarkStart w:id="0" w:name="c5"/>
      <w:r>
        <w:instrText xml:space="preserve"> FORMTEXT </w:instrText>
      </w:r>
      <w:r>
        <w:fldChar w:fldCharType="separate"/>
      </w:r>
      <w:r>
        <w:rPr>
          <w:rFonts w:hint="eastAsia"/>
        </w:rPr>
        <w:t>IPIF</w:t>
      </w:r>
      <w:r>
        <w:fldChar w:fldCharType="end"/>
      </w:r>
      <w:bookmarkEnd w:id="0"/>
    </w:p>
    <w:p>
      <w:pPr>
        <w:pStyle w:val="107"/>
        <w:framePr w:w="8291" w:x="1790" w:y="3081"/>
        <w:rPr>
          <w:rFonts w:ascii="Times New Roman" w:hAnsi="Times New Roman"/>
        </w:rPr>
      </w:pPr>
      <w:r>
        <w:fldChar w:fldCharType="begin">
          <w:ffData>
            <w:name w:val="c6"/>
            <w:enabled/>
            <w:calcOnExit w:val="0"/>
            <w:textInput/>
          </w:ffData>
        </w:fldChar>
      </w:r>
      <w:bookmarkStart w:id="1" w:name="c6"/>
      <w:r>
        <w:instrText xml:space="preserve"> FORMTEXT </w:instrText>
      </w:r>
      <w:r>
        <w:fldChar w:fldCharType="separate"/>
      </w:r>
      <w:r>
        <w:rPr>
          <w:rFonts w:hint="eastAsia"/>
        </w:rPr>
        <w:t>团体标准</w:t>
      </w:r>
      <w:r>
        <w:fldChar w:fldCharType="end"/>
      </w:r>
      <w:bookmarkEnd w:id="1"/>
    </w:p>
    <w:p>
      <w:pPr>
        <w:pStyle w:val="76"/>
        <w:framePr w:w="8600" w:h="732" w:hRule="exact" w:x="1569" w:y="3750"/>
        <w:jc w:val="center"/>
        <w:rPr>
          <w:rFonts w:hint="default" w:hAnsi="黑体" w:eastAsia="黑体"/>
          <w:lang w:val="en-US" w:eastAsia="zh-CN"/>
        </w:rPr>
      </w:pPr>
      <w:r>
        <w:rPr>
          <w:rFonts w:hint="eastAsia" w:ascii="Times New Roman"/>
          <w:lang w:val="en-US" w:eastAsia="zh-CN"/>
        </w:rPr>
        <w:t xml:space="preserve">                                            </w:t>
      </w:r>
      <w:r>
        <w:rPr>
          <w:rFonts w:hint="eastAsia" w:ascii="Times New Roman"/>
        </w:rPr>
        <w:t>T</w:t>
      </w:r>
      <w:r>
        <w:rPr>
          <w:rFonts w:ascii="Times New Roman"/>
        </w:rPr>
        <w:t>/</w:t>
      </w:r>
      <w:r>
        <w:rPr>
          <w:rFonts w:hint="eastAsia" w:ascii="Times New Roman"/>
        </w:rPr>
        <w:t>IPIF</w:t>
      </w:r>
      <w:r>
        <w:rPr>
          <w:rFonts w:hAnsi="黑体"/>
        </w:rPr>
        <w:t xml:space="preserve"> </w:t>
      </w:r>
      <w:r>
        <w:rPr>
          <w:rFonts w:hint="eastAsia" w:hAnsi="黑体"/>
          <w:lang w:val="en-US" w:eastAsia="zh-CN"/>
        </w:rPr>
        <w:t>XXXX</w:t>
      </w:r>
      <w:r>
        <w:rPr>
          <w:rFonts w:hAnsi="黑体"/>
        </w:rPr>
        <w:t>—</w:t>
      </w:r>
      <w:r>
        <w:rPr>
          <w:rFonts w:hint="eastAsia" w:hAnsi="黑体"/>
          <w:lang w:val="en-US" w:eastAsia="zh-CN"/>
        </w:rPr>
        <w:t>XXXX</w:t>
      </w:r>
    </w:p>
    <w:p>
      <w:pPr>
        <w:pStyle w:val="76"/>
        <w:framePr w:w="8600" w:h="732" w:hRule="exact" w:x="1569" w:y="3750"/>
        <w:rPr>
          <w:rFonts w:hAnsi="黑体"/>
        </w:rPr>
      </w:pPr>
    </w:p>
    <w:p>
      <w:pPr>
        <w:pStyle w:val="42"/>
        <w:keepNext w:val="0"/>
        <w:keepLines w:val="0"/>
        <w:pageBreakBefore w:val="0"/>
        <w:framePr w:h="6002" w:hRule="exact" w:y="6438"/>
        <w:widowControl w:val="0"/>
        <w:kinsoku/>
        <w:wordWrap/>
        <w:overflowPunct/>
        <w:topLinePunct w:val="0"/>
        <w:autoSpaceDE/>
        <w:autoSpaceDN/>
        <w:bidi w:val="0"/>
        <w:adjustRightInd/>
        <w:snapToGrid/>
        <w:spacing w:line="240" w:lineRule="auto"/>
        <w:textAlignment w:val="center"/>
        <w:rPr>
          <w:rFonts w:hint="eastAsia"/>
          <w:lang w:val="en-US" w:eastAsia="zh-CN"/>
        </w:rPr>
      </w:pPr>
      <w:r>
        <w:rPr>
          <w:rFonts w:hint="eastAsia"/>
          <w:lang w:eastAsia="zh-CN"/>
        </w:rPr>
        <w:t>绿色生态发展企业评价通则</w:t>
      </w:r>
    </w:p>
    <w:p>
      <w:pPr>
        <w:pStyle w:val="41"/>
        <w:keepNext w:val="0"/>
        <w:keepLines w:val="0"/>
        <w:pageBreakBefore w:val="0"/>
        <w:framePr w:h="6002" w:hRule="exact" w:y="6438"/>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textAlignment w:val="center"/>
        <w:rPr>
          <w:rFonts w:hint="eastAsia" w:ascii="黑体" w:hAnsi="黑体" w:eastAsia="黑体" w:cs="黑体"/>
        </w:rPr>
      </w:pPr>
      <w:r>
        <w:rPr>
          <w:rFonts w:hint="eastAsia" w:ascii="黑体" w:hAnsi="黑体" w:eastAsia="黑体" w:cs="黑体"/>
        </w:rPr>
        <w:t xml:space="preserve">Standard </w:t>
      </w:r>
      <w:r>
        <w:rPr>
          <w:rFonts w:hint="eastAsia" w:ascii="黑体" w:hAnsi="黑体" w:cs="黑体"/>
          <w:lang w:val="en-US" w:eastAsia="zh-CN"/>
        </w:rPr>
        <w:t>o</w:t>
      </w:r>
      <w:r>
        <w:rPr>
          <w:rFonts w:hint="eastAsia" w:ascii="黑体" w:hAnsi="黑体" w:eastAsia="黑体" w:cs="黑体"/>
        </w:rPr>
        <w:t xml:space="preserve">f </w:t>
      </w:r>
      <w:r>
        <w:rPr>
          <w:rFonts w:hint="eastAsia" w:ascii="黑体" w:hAnsi="黑体" w:cs="黑体"/>
          <w:lang w:val="en-US" w:eastAsia="zh-CN"/>
        </w:rPr>
        <w:t>e</w:t>
      </w:r>
      <w:r>
        <w:rPr>
          <w:rFonts w:hint="eastAsia" w:ascii="黑体" w:hAnsi="黑体" w:eastAsia="黑体" w:cs="黑体"/>
        </w:rPr>
        <w:t xml:space="preserve">valuation </w:t>
      </w:r>
      <w:r>
        <w:rPr>
          <w:rFonts w:hint="eastAsia" w:ascii="黑体" w:hAnsi="黑体" w:cs="黑体"/>
          <w:lang w:val="en-US" w:eastAsia="zh-CN"/>
        </w:rPr>
        <w:t>o</w:t>
      </w:r>
      <w:r>
        <w:rPr>
          <w:rFonts w:hint="eastAsia" w:ascii="黑体" w:hAnsi="黑体" w:eastAsia="黑体" w:cs="黑体"/>
        </w:rPr>
        <w:t xml:space="preserve">f </w:t>
      </w:r>
      <w:r>
        <w:rPr>
          <w:rFonts w:hint="eastAsia" w:ascii="黑体" w:hAnsi="黑体" w:cs="黑体"/>
          <w:lang w:val="en-US" w:eastAsia="zh-CN"/>
        </w:rPr>
        <w:t>e</w:t>
      </w:r>
      <w:r>
        <w:rPr>
          <w:rFonts w:hint="eastAsia" w:ascii="黑体" w:hAnsi="黑体" w:eastAsia="黑体" w:cs="黑体"/>
        </w:rPr>
        <w:t xml:space="preserve">nterprise's </w:t>
      </w:r>
      <w:r>
        <w:rPr>
          <w:rFonts w:hint="eastAsia" w:ascii="黑体" w:hAnsi="黑体" w:cs="黑体"/>
          <w:lang w:val="en-US" w:eastAsia="zh-CN"/>
        </w:rPr>
        <w:t>g</w:t>
      </w:r>
      <w:r>
        <w:rPr>
          <w:rFonts w:hint="eastAsia" w:ascii="黑体" w:hAnsi="黑体" w:eastAsia="黑体" w:cs="黑体"/>
        </w:rPr>
        <w:t xml:space="preserve">reen </w:t>
      </w:r>
      <w:r>
        <w:rPr>
          <w:rFonts w:hint="eastAsia" w:ascii="黑体" w:hAnsi="黑体" w:cs="黑体"/>
          <w:lang w:val="en-US" w:eastAsia="zh-CN"/>
        </w:rPr>
        <w:t>e</w:t>
      </w:r>
      <w:r>
        <w:rPr>
          <w:rFonts w:hint="eastAsia" w:ascii="黑体" w:hAnsi="黑体" w:eastAsia="黑体" w:cs="黑体"/>
        </w:rPr>
        <w:t>co-development</w:t>
      </w:r>
    </w:p>
    <w:p>
      <w:pPr>
        <w:pStyle w:val="41"/>
        <w:framePr w:h="6002" w:hRule="exact" w:y="6438"/>
        <w:rPr>
          <w:rFonts w:hint="default" w:eastAsia="黑体"/>
          <w:lang w:val="en-US" w:eastAsia="zh-CN"/>
        </w:rPr>
      </w:pPr>
      <w:r>
        <w:rPr>
          <w:rFonts w:hint="eastAsia"/>
          <w:lang w:val="en-US" w:eastAsia="zh-CN"/>
        </w:rPr>
        <w:t>(征求意见稿)</w:t>
      </w:r>
    </w:p>
    <w:p>
      <w:pPr>
        <w:pStyle w:val="41"/>
        <w:framePr w:h="6002" w:hRule="exact" w:y="6438"/>
      </w:pPr>
    </w:p>
    <w:p>
      <w:pPr>
        <w:pStyle w:val="126"/>
        <w:rPr>
          <w:rFonts w:hint="eastAsia" w:ascii="黑体" w:hAnsi="黑体" w:eastAsia="黑体" w:cs="黑体"/>
          <w:lang w:val="en-US"/>
        </w:rPr>
      </w:pPr>
      <w:r>
        <w:rPr>
          <w:rFonts w:hint="eastAsia" w:ascii="黑体" w:hAnsi="黑体" w:eastAsia="黑体" w:cs="黑体"/>
          <w:lang w:val="en-US" w:eastAsia="zh-CN"/>
        </w:rPr>
        <w:t>20XX</w:t>
      </w:r>
      <w:r>
        <w:rPr>
          <w:rFonts w:hint="eastAsia" w:ascii="黑体" w:hAnsi="黑体" w:eastAsia="黑体" w:cs="黑体"/>
        </w:rPr>
        <w:t xml:space="preserve"> - </w:t>
      </w:r>
      <w:r>
        <w:rPr>
          <w:rFonts w:hint="eastAsia" w:ascii="黑体" w:hAnsi="黑体" w:eastAsia="黑体" w:cs="黑体"/>
          <w:lang w:val="en-US" w:eastAsia="zh-CN"/>
        </w:rPr>
        <w:t>XX</w:t>
      </w:r>
      <w:r>
        <w:rPr>
          <w:rFonts w:hint="eastAsia" w:ascii="黑体" w:hAnsi="黑体" w:eastAsia="黑体" w:cs="黑体"/>
        </w:rPr>
        <w:t xml:space="preserve"> - </w:t>
      </w:r>
      <w:r>
        <w:rPr>
          <w:rFonts w:hint="eastAsia" w:ascii="黑体" w:hAnsi="黑体" w:eastAsia="黑体" w:cs="黑体"/>
          <w:lang w:val="en-US" w:eastAsia="zh-CN"/>
        </w:rPr>
        <w:t>XX</w:t>
      </w:r>
      <w:r>
        <w:rPr>
          <w:rFonts w:hint="eastAsia" w:ascii="黑体" w:hAnsi="黑体" w:eastAsia="黑体" w:cs="黑体"/>
        </w:rPr>
        <w:pict>
          <v:line id="直线 10" o:spid="_x0000_s1028" o:spt="20" style="position:absolute;left:0pt;margin-left:-0.05pt;margin-top:728.5pt;height:0pt;width:481.9pt;mso-position-vertical-relative:page;z-index:251659264;mso-width-relative:page;mso-height-relative:page;" coordsize="21600,21600">
            <v:path arrowok="t"/>
            <v:fill focussize="0,0"/>
            <v:stroke/>
            <v:imagedata o:title=""/>
            <o:lock v:ext="edit"/>
            <w10:anchorlock/>
          </v:line>
        </w:pict>
      </w:r>
      <w:r>
        <w:rPr>
          <w:rFonts w:hint="eastAsia" w:ascii="黑体" w:hAnsi="黑体" w:eastAsia="黑体" w:cs="黑体"/>
          <w:lang w:val="en-US" w:eastAsia="zh-CN"/>
        </w:rPr>
        <w:t xml:space="preserve"> 发布</w:t>
      </w:r>
    </w:p>
    <w:p>
      <w:pPr>
        <w:pStyle w:val="127"/>
      </w:pPr>
      <w:r>
        <w:rPr>
          <w:rFonts w:hint="eastAsia" w:ascii="黑体" w:hAnsi="黑体" w:eastAsia="黑体" w:cs="黑体"/>
          <w:lang w:val="en-US" w:eastAsia="zh-CN"/>
        </w:rPr>
        <w:t>20XX</w:t>
      </w:r>
      <w:r>
        <w:rPr>
          <w:rFonts w:hint="eastAsia" w:ascii="黑体" w:hAnsi="黑体" w:eastAsia="黑体" w:cs="黑体"/>
        </w:rPr>
        <w:t xml:space="preserve"> - </w:t>
      </w:r>
      <w:r>
        <w:rPr>
          <w:rFonts w:hint="eastAsia" w:ascii="黑体" w:hAnsi="黑体" w:eastAsia="黑体" w:cs="黑体"/>
          <w:lang w:val="en-US" w:eastAsia="zh-CN"/>
        </w:rPr>
        <w:t>XX</w:t>
      </w:r>
      <w:r>
        <w:rPr>
          <w:rFonts w:hint="eastAsia" w:ascii="黑体" w:hAnsi="黑体" w:eastAsia="黑体" w:cs="黑体"/>
        </w:rPr>
        <w:t xml:space="preserve"> - </w:t>
      </w:r>
      <w:r>
        <w:rPr>
          <w:rFonts w:hint="eastAsia" w:ascii="黑体" w:hAnsi="黑体" w:eastAsia="黑体" w:cs="黑体"/>
          <w:lang w:val="en-US" w:eastAsia="zh-CN"/>
        </w:rPr>
        <w:t>XX</w:t>
      </w:r>
      <w:r>
        <w:rPr>
          <w:rFonts w:hint="eastAsia" w:ascii="黑体" w:hAnsi="黑体" w:eastAsia="黑体" w:cs="黑体"/>
        </w:rPr>
        <w:t>实施</w:t>
      </w:r>
    </w:p>
    <w:p>
      <w:pPr>
        <w:pStyle w:val="109"/>
        <w:framePr w:h="474" w:hRule="exact" w:y="14860"/>
        <w:sectPr>
          <w:headerReference r:id="rId4" w:type="first"/>
          <w:footerReference r:id="rId6" w:type="first"/>
          <w:headerReference r:id="rId3" w:type="even"/>
          <w:footerReference r:id="rId5" w:type="even"/>
          <w:pgSz w:w="11906" w:h="16838"/>
          <w:pgMar w:top="1440" w:right="1800" w:bottom="1440" w:left="1800" w:header="851" w:footer="992" w:gutter="0"/>
          <w:pgNumType w:fmt="upperRoman"/>
          <w:cols w:space="425" w:num="1"/>
          <w:docGrid w:type="lines" w:linePitch="312" w:charSpace="0"/>
        </w:sectPr>
      </w:pPr>
      <w:r>
        <w:rPr>
          <w:sz w:val="28"/>
        </w:rPr>
        <mc:AlternateContent>
          <mc:Choice Requires="wps">
            <w:drawing>
              <wp:anchor distT="0" distB="0" distL="114300" distR="114300" simplePos="0" relativeHeight="251661312" behindDoc="0" locked="0" layoutInCell="1" allowOverlap="1">
                <wp:simplePos x="0" y="0"/>
                <wp:positionH relativeFrom="column">
                  <wp:posOffset>-216535</wp:posOffset>
                </wp:positionH>
                <wp:positionV relativeFrom="paragraph">
                  <wp:posOffset>-6652895</wp:posOffset>
                </wp:positionV>
                <wp:extent cx="5324475" cy="19050"/>
                <wp:effectExtent l="0" t="9525" r="9525" b="9525"/>
                <wp:wrapNone/>
                <wp:docPr id="3" name="直接连接符 3"/>
                <wp:cNvGraphicFramePr/>
                <a:graphic xmlns:a="http://schemas.openxmlformats.org/drawingml/2006/main">
                  <a:graphicData uri="http://schemas.microsoft.com/office/word/2010/wordprocessingShape">
                    <wps:wsp>
                      <wps:cNvCnPr/>
                      <wps:spPr>
                        <a:xfrm>
                          <a:off x="1233170" y="2992120"/>
                          <a:ext cx="53244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7.05pt;margin-top:-523.85pt;height:1.5pt;width:419.25pt;z-index:251661312;mso-width-relative:page;mso-height-relative:page;" filled="f" stroked="t" coordsize="21600,21600" o:gfxdata="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jGyb3AAAAA8BAAAPAAAAAAAAAAEAIAAAACIAAABkcnMvZG93bnJldi54bWxQ&#10;SwECFAAUAAAACACHTuJAvBZHe/MBAADCAwAADgAAAAAAAAABACAAAAArAQAAZHJzL2Uyb0RvYy54&#10;bWxQSwUGAAAAAAYABgBZAQAAkAUAAAAA&#10;">
                <v:fill on="f" focussize="0,0"/>
                <v:stroke weight="1.5pt" color="#000000 [3200]" miterlimit="8" joinstyle="miter"/>
                <v:imagedata o:title=""/>
                <o:lock v:ext="edit" aspectratio="f"/>
              </v:line>
            </w:pict>
          </mc:Fallback>
        </mc:AlternateContent>
      </w:r>
      <w:r>
        <w:fldChar w:fldCharType="begin">
          <w:ffData>
            <w:name w:val="fm"/>
            <w:enabled/>
            <w:calcOnExit w:val="0"/>
            <w:textInput/>
          </w:ffData>
        </w:fldChar>
      </w:r>
      <w:bookmarkStart w:id="2" w:name="fm"/>
      <w:r>
        <w:instrText xml:space="preserve"> FORMTEXT </w:instrText>
      </w:r>
      <w:r>
        <w:fldChar w:fldCharType="separate"/>
      </w:r>
      <w:r>
        <w:rPr>
          <w:rFonts w:hint="eastAsia"/>
        </w:rPr>
        <w:t>广东省知识产权投融资促进会</w:t>
      </w:r>
      <w:r>
        <w:fldChar w:fldCharType="end"/>
      </w:r>
      <w:bookmarkEnd w:id="2"/>
      <w:r>
        <w:rPr>
          <w:rFonts w:hAnsi="黑体"/>
        </w:rPr>
        <w:t> </w:t>
      </w:r>
      <w:r>
        <w:rPr>
          <w:rStyle w:val="133"/>
          <w:rFonts w:hint="eastAsia"/>
        </w:rPr>
        <w:t>发布</w:t>
      </w:r>
      <w:r>
        <w:pict>
          <v:line id="直线 11" o:spid="_x0000_s1029" o:spt="20" style="position:absolute;left:0pt;margin-left:-0.05pt;margin-top:184.25pt;height:0pt;width:481.9pt;z-index:251660288;mso-width-relative:page;mso-height-relative:page;" coordsize="21600,21600">
            <v:path arrowok="t"/>
            <v:fill focussize="0,0"/>
            <v:stroke/>
            <v:imagedata o:title=""/>
            <o:lock v:ext="edit"/>
          </v:line>
        </w:pict>
      </w:r>
    </w:p>
    <w:p>
      <w:pPr>
        <w:pStyle w:val="97"/>
        <w:keepNext/>
        <w:keepLines w:val="0"/>
        <w:pageBreakBefore/>
        <w:widowControl/>
        <w:kinsoku/>
        <w:wordWrap/>
        <w:overflowPunct/>
        <w:topLinePunct w:val="0"/>
        <w:autoSpaceDE/>
        <w:autoSpaceDN/>
        <w:bidi w:val="0"/>
        <w:adjustRightInd/>
        <w:snapToGrid/>
        <w:textAlignment w:val="auto"/>
        <w:outlineLvl w:val="9"/>
        <w:rPr>
          <w:rFonts w:hint="eastAsia"/>
        </w:rPr>
      </w:pPr>
      <w:bookmarkStart w:id="3" w:name="_Toc31184"/>
      <w:bookmarkStart w:id="4" w:name="_Toc18586"/>
      <w:bookmarkStart w:id="5" w:name="_Toc7957"/>
      <w:bookmarkStart w:id="6" w:name="_Toc12457_WPSOffice_Level1"/>
      <w:r>
        <w:rPr>
          <w:rFonts w:hint="eastAsia"/>
        </w:rPr>
        <w:t>目</w:t>
      </w:r>
      <w:bookmarkStart w:id="7" w:name="BKML"/>
      <w:r>
        <w:rPr>
          <w:rFonts w:hAnsi="黑体"/>
        </w:rPr>
        <w:t>  </w:t>
      </w:r>
      <w:r>
        <w:rPr>
          <w:rFonts w:hint="eastAsia"/>
        </w:rPr>
        <w:t>次</w:t>
      </w:r>
      <w:bookmarkEnd w:id="3"/>
      <w:bookmarkEnd w:id="4"/>
      <w:bookmarkEnd w:id="5"/>
      <w:bookmarkEnd w:id="7"/>
    </w:p>
    <w:bookmarkEnd w:id="6"/>
    <w:p>
      <w:pPr>
        <w:pStyle w:val="19"/>
        <w:tabs>
          <w:tab w:val="right" w:leader="dot" w:pos="9355"/>
          <w:tab w:val="clear" w:pos="9241"/>
        </w:tabs>
        <w:rPr>
          <w:rFonts w:hint="eastAsia" w:ascii="宋体" w:hAnsi="宋体" w:eastAsia="宋体" w:cs="宋体"/>
        </w:rPr>
      </w:pPr>
      <w:bookmarkStart w:id="8" w:name="_Toc62290501"/>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_Toc32072 </w:instrText>
      </w:r>
      <w:r>
        <w:rPr>
          <w:rFonts w:hint="eastAsia" w:ascii="宋体" w:hAnsi="宋体" w:eastAsia="宋体" w:cs="宋体"/>
          <w:szCs w:val="28"/>
        </w:rPr>
        <w:fldChar w:fldCharType="separate"/>
      </w:r>
      <w:r>
        <w:rPr>
          <w:rFonts w:hint="eastAsia" w:ascii="宋体" w:hAnsi="宋体" w:eastAsia="宋体" w:cs="宋体"/>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_Toc32072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szCs w:val="28"/>
        </w:rPr>
        <w:fldChar w:fldCharType="end"/>
      </w:r>
    </w:p>
    <w:p>
      <w:pPr>
        <w:pStyle w:val="19"/>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_Toc2746 </w:instrText>
      </w:r>
      <w:r>
        <w:rPr>
          <w:rFonts w:hint="eastAsia" w:ascii="宋体" w:hAnsi="宋体" w:eastAsia="宋体" w:cs="宋体"/>
          <w:szCs w:val="28"/>
        </w:rPr>
        <w:fldChar w:fldCharType="separate"/>
      </w:r>
      <w:r>
        <w:rPr>
          <w:rFonts w:hint="eastAsia" w:ascii="宋体" w:hAnsi="宋体" w:eastAsia="宋体" w:cs="宋体"/>
          <w:bCs w:val="0"/>
          <w:szCs w:val="21"/>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_Toc2746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19"/>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_Toc2034 </w:instrText>
      </w:r>
      <w:r>
        <w:rPr>
          <w:rFonts w:hint="eastAsia" w:ascii="宋体" w:hAnsi="宋体" w:eastAsia="宋体" w:cs="宋体"/>
          <w:szCs w:val="28"/>
        </w:rPr>
        <w:fldChar w:fldCharType="separate"/>
      </w:r>
      <w:r>
        <w:rPr>
          <w:rFonts w:hint="eastAsia" w:ascii="宋体" w:hAnsi="宋体" w:eastAsia="宋体" w:cs="宋体"/>
          <w:bCs w:val="0"/>
          <w:szCs w:val="21"/>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19"/>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_Toc1683 </w:instrText>
      </w:r>
      <w:r>
        <w:rPr>
          <w:rFonts w:hint="eastAsia" w:ascii="宋体" w:hAnsi="宋体" w:eastAsia="宋体" w:cs="宋体"/>
          <w:szCs w:val="28"/>
        </w:rPr>
        <w:fldChar w:fldCharType="separate"/>
      </w:r>
      <w:r>
        <w:rPr>
          <w:rFonts w:hint="eastAsia" w:ascii="宋体" w:hAnsi="宋体" w:eastAsia="宋体" w:cs="宋体"/>
          <w:bCs w:val="0"/>
          <w:szCs w:val="21"/>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_Toc1683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28"/>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_Toc13061 </w:instrText>
      </w:r>
      <w:r>
        <w:rPr>
          <w:rFonts w:hint="eastAsia" w:ascii="宋体" w:hAnsi="宋体" w:eastAsia="宋体" w:cs="宋体"/>
          <w:szCs w:val="28"/>
        </w:rPr>
        <w:fldChar w:fldCharType="separate"/>
      </w:r>
      <w:r>
        <w:rPr>
          <w:rFonts w:hint="eastAsia" w:ascii="宋体" w:hAnsi="宋体" w:eastAsia="宋体" w:cs="宋体"/>
          <w:bCs w:val="0"/>
          <w:szCs w:val="21"/>
        </w:rPr>
        <w:t>3.1 绿色生态发展企业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_Toc13061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28"/>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_Toc21280 </w:instrText>
      </w:r>
      <w:r>
        <w:rPr>
          <w:rFonts w:hint="eastAsia" w:ascii="宋体" w:hAnsi="宋体" w:eastAsia="宋体" w:cs="宋体"/>
          <w:szCs w:val="28"/>
        </w:rPr>
        <w:fldChar w:fldCharType="separate"/>
      </w:r>
      <w:r>
        <w:rPr>
          <w:rFonts w:hint="eastAsia" w:ascii="宋体" w:hAnsi="宋体" w:eastAsia="宋体" w:cs="宋体"/>
          <w:bCs w:val="0"/>
          <w:szCs w:val="21"/>
        </w:rPr>
        <w:t>3.2 绿色生态发展等级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_Toc21280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19"/>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_Toc26409 </w:instrText>
      </w:r>
      <w:r>
        <w:rPr>
          <w:rFonts w:hint="eastAsia" w:ascii="宋体" w:hAnsi="宋体" w:eastAsia="宋体" w:cs="宋体"/>
          <w:szCs w:val="28"/>
        </w:rPr>
        <w:fldChar w:fldCharType="separate"/>
      </w:r>
      <w:r>
        <w:rPr>
          <w:rFonts w:hint="eastAsia" w:ascii="宋体" w:hAnsi="宋体" w:eastAsia="宋体" w:cs="宋体"/>
          <w:bCs w:val="0"/>
          <w:szCs w:val="21"/>
        </w:rPr>
        <w:t>4</w:t>
      </w:r>
      <w:r>
        <w:rPr>
          <w:rFonts w:hint="eastAsia" w:ascii="宋体" w:hAnsi="宋体" w:eastAsia="宋体" w:cs="宋体"/>
          <w:bCs w:val="0"/>
          <w:szCs w:val="21"/>
          <w:lang w:val="en-US" w:eastAsia="zh-CN"/>
        </w:rPr>
        <w:t xml:space="preserve"> </w:t>
      </w:r>
      <w:r>
        <w:rPr>
          <w:rFonts w:hint="eastAsia" w:ascii="宋体" w:hAnsi="宋体" w:eastAsia="宋体" w:cs="宋体"/>
          <w:bCs w:val="0"/>
          <w:szCs w:val="21"/>
        </w:rPr>
        <w:t>基本原则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_Toc26409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28"/>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_Toc24555 </w:instrText>
      </w:r>
      <w:r>
        <w:rPr>
          <w:rFonts w:hint="eastAsia" w:ascii="宋体" w:hAnsi="宋体" w:eastAsia="宋体" w:cs="宋体"/>
          <w:szCs w:val="28"/>
        </w:rPr>
        <w:fldChar w:fldCharType="separate"/>
      </w:r>
      <w:r>
        <w:rPr>
          <w:rFonts w:hint="eastAsia" w:ascii="宋体" w:hAnsi="宋体" w:eastAsia="宋体" w:cs="宋体"/>
          <w:bCs w:val="0"/>
          <w:szCs w:val="21"/>
        </w:rPr>
        <w:t>4.1 行业类别确定等级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_Toc24555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28"/>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_Toc24896 </w:instrText>
      </w:r>
      <w:r>
        <w:rPr>
          <w:rFonts w:hint="eastAsia" w:ascii="宋体" w:hAnsi="宋体" w:eastAsia="宋体" w:cs="宋体"/>
          <w:szCs w:val="28"/>
        </w:rPr>
        <w:fldChar w:fldCharType="separate"/>
      </w:r>
      <w:r>
        <w:rPr>
          <w:rFonts w:hint="eastAsia" w:ascii="宋体" w:hAnsi="宋体" w:eastAsia="宋体" w:cs="宋体"/>
          <w:bCs w:val="0"/>
          <w:szCs w:val="21"/>
        </w:rPr>
        <w:t>4.2 指标选取原则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_Toc24896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_Toc15332 </w:instrText>
      </w:r>
      <w:r>
        <w:rPr>
          <w:rFonts w:hint="eastAsia" w:ascii="宋体" w:hAnsi="宋体" w:eastAsia="宋体" w:cs="宋体"/>
          <w:szCs w:val="28"/>
        </w:rPr>
        <w:fldChar w:fldCharType="separate"/>
      </w:r>
      <w:r>
        <w:rPr>
          <w:rFonts w:hint="eastAsia" w:ascii="宋体" w:hAnsi="宋体" w:eastAsia="宋体" w:cs="宋体"/>
          <w:bCs w:val="0"/>
          <w:szCs w:val="21"/>
        </w:rPr>
        <w:t>4.2.1 遵循“系统性”原则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_Toc15332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_Toc27583 </w:instrText>
      </w:r>
      <w:r>
        <w:rPr>
          <w:rFonts w:hint="eastAsia" w:ascii="宋体" w:hAnsi="宋体" w:eastAsia="宋体" w:cs="宋体"/>
          <w:szCs w:val="28"/>
        </w:rPr>
        <w:fldChar w:fldCharType="separate"/>
      </w:r>
      <w:r>
        <w:rPr>
          <w:rFonts w:hint="eastAsia" w:ascii="宋体" w:hAnsi="宋体" w:eastAsia="宋体" w:cs="宋体"/>
          <w:bCs w:val="0"/>
          <w:szCs w:val="21"/>
        </w:rPr>
        <w:t>4.2.2 遵循“代表性”与“适用性”结合原则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_Toc27583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_Toc18891 </w:instrText>
      </w:r>
      <w:r>
        <w:rPr>
          <w:rFonts w:hint="eastAsia" w:ascii="宋体" w:hAnsi="宋体" w:eastAsia="宋体" w:cs="宋体"/>
          <w:szCs w:val="28"/>
        </w:rPr>
        <w:fldChar w:fldCharType="separate"/>
      </w:r>
      <w:r>
        <w:rPr>
          <w:rFonts w:hint="eastAsia" w:ascii="宋体" w:hAnsi="宋体" w:eastAsia="宋体" w:cs="宋体"/>
          <w:bCs w:val="0"/>
          <w:szCs w:val="21"/>
        </w:rPr>
        <w:t>4.2.3 遵循“动态性”原则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_Toc18891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19"/>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_Toc8193 </w:instrText>
      </w:r>
      <w:r>
        <w:rPr>
          <w:rFonts w:hint="eastAsia" w:ascii="宋体" w:hAnsi="宋体" w:eastAsia="宋体" w:cs="宋体"/>
          <w:szCs w:val="28"/>
        </w:rPr>
        <w:fldChar w:fldCharType="separate"/>
      </w:r>
      <w:r>
        <w:rPr>
          <w:rFonts w:hint="eastAsia" w:ascii="宋体" w:hAnsi="宋体" w:eastAsia="宋体" w:cs="宋体"/>
          <w:bCs w:val="0"/>
          <w:szCs w:val="21"/>
        </w:rPr>
        <w:t>5</w:t>
      </w:r>
      <w:r>
        <w:rPr>
          <w:rFonts w:hint="eastAsia" w:ascii="宋体" w:hAnsi="宋体" w:eastAsia="宋体" w:cs="宋体"/>
          <w:bCs w:val="0"/>
          <w:szCs w:val="21"/>
          <w:lang w:val="en-US" w:eastAsia="zh-CN"/>
        </w:rPr>
        <w:t xml:space="preserve"> </w:t>
      </w:r>
      <w:r>
        <w:rPr>
          <w:rFonts w:hint="eastAsia" w:ascii="宋体" w:hAnsi="宋体" w:eastAsia="宋体" w:cs="宋体"/>
          <w:bCs w:val="0"/>
          <w:szCs w:val="21"/>
        </w:rPr>
        <w:t>指标体系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_Toc8193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28"/>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_Toc24769 </w:instrText>
      </w:r>
      <w:r>
        <w:rPr>
          <w:rFonts w:hint="eastAsia" w:ascii="宋体" w:hAnsi="宋体" w:eastAsia="宋体" w:cs="宋体"/>
          <w:szCs w:val="28"/>
        </w:rPr>
        <w:fldChar w:fldCharType="separate"/>
      </w:r>
      <w:r>
        <w:rPr>
          <w:rFonts w:hint="eastAsia" w:ascii="宋体" w:hAnsi="宋体" w:eastAsia="宋体" w:cs="宋体"/>
          <w:bCs w:val="0"/>
          <w:szCs w:val="21"/>
        </w:rPr>
        <w:t>5.1 指标体系框架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_Toc24769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28"/>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_Toc22286 </w:instrText>
      </w:r>
      <w:r>
        <w:rPr>
          <w:rFonts w:hint="eastAsia" w:ascii="宋体" w:hAnsi="宋体" w:eastAsia="宋体" w:cs="宋体"/>
          <w:szCs w:val="28"/>
        </w:rPr>
        <w:fldChar w:fldCharType="separate"/>
      </w:r>
      <w:r>
        <w:rPr>
          <w:rFonts w:hint="eastAsia" w:ascii="宋体" w:hAnsi="宋体" w:eastAsia="宋体" w:cs="宋体"/>
          <w:bCs w:val="0"/>
          <w:szCs w:val="21"/>
        </w:rPr>
        <w:t>5.2 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_Toc22286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28"/>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_Toc622 </w:instrText>
      </w:r>
      <w:r>
        <w:rPr>
          <w:rFonts w:hint="eastAsia" w:ascii="宋体" w:hAnsi="宋体" w:eastAsia="宋体" w:cs="宋体"/>
          <w:szCs w:val="28"/>
        </w:rPr>
        <w:fldChar w:fldCharType="separate"/>
      </w:r>
      <w:r>
        <w:rPr>
          <w:rFonts w:hint="eastAsia" w:ascii="宋体" w:hAnsi="宋体" w:eastAsia="宋体" w:cs="宋体"/>
          <w:bCs w:val="0"/>
          <w:szCs w:val="21"/>
        </w:rPr>
        <w:t>5.3 评价指标要求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_Toc622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_Toc28070 </w:instrText>
      </w:r>
      <w:r>
        <w:rPr>
          <w:rFonts w:hint="eastAsia" w:ascii="宋体" w:hAnsi="宋体" w:eastAsia="宋体" w:cs="宋体"/>
          <w:szCs w:val="28"/>
        </w:rPr>
        <w:fldChar w:fldCharType="separate"/>
      </w:r>
      <w:r>
        <w:rPr>
          <w:rFonts w:hint="eastAsia" w:ascii="宋体" w:hAnsi="宋体" w:eastAsia="宋体" w:cs="宋体"/>
          <w:bCs w:val="0"/>
          <w:szCs w:val="21"/>
        </w:rPr>
        <w:t>5.3.1规划治理指标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_Toc28070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_Toc23401 </w:instrText>
      </w:r>
      <w:r>
        <w:rPr>
          <w:rFonts w:hint="eastAsia" w:ascii="宋体" w:hAnsi="宋体" w:eastAsia="宋体" w:cs="宋体"/>
          <w:szCs w:val="28"/>
        </w:rPr>
        <w:fldChar w:fldCharType="separate"/>
      </w:r>
      <w:r>
        <w:rPr>
          <w:rFonts w:hint="eastAsia" w:ascii="宋体" w:hAnsi="宋体" w:eastAsia="宋体" w:cs="宋体"/>
          <w:bCs w:val="0"/>
          <w:szCs w:val="21"/>
        </w:rPr>
        <w:t>5.3.2 生产经营指标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_Toc23401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8"/>
        </w:rPr>
        <w:fldChar w:fldCharType="end"/>
      </w:r>
    </w:p>
    <w:p>
      <w:pPr>
        <w:pStyle w:val="13"/>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_Toc23950 </w:instrText>
      </w:r>
      <w:r>
        <w:rPr>
          <w:rFonts w:hint="eastAsia" w:ascii="宋体" w:hAnsi="宋体" w:eastAsia="宋体" w:cs="宋体"/>
          <w:szCs w:val="28"/>
        </w:rPr>
        <w:fldChar w:fldCharType="separate"/>
      </w:r>
      <w:r>
        <w:rPr>
          <w:rFonts w:hint="eastAsia" w:ascii="宋体" w:hAnsi="宋体" w:eastAsia="宋体" w:cs="宋体"/>
          <w:bCs w:val="0"/>
          <w:szCs w:val="21"/>
        </w:rPr>
        <w:t>5.3.3 组织绩效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_Toc23950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8"/>
        </w:rPr>
        <w:fldChar w:fldCharType="end"/>
      </w:r>
    </w:p>
    <w:p>
      <w:pPr>
        <w:pStyle w:val="19"/>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_Toc10176 </w:instrText>
      </w:r>
      <w:r>
        <w:rPr>
          <w:rFonts w:hint="eastAsia" w:ascii="宋体" w:hAnsi="宋体" w:eastAsia="宋体" w:cs="宋体"/>
          <w:szCs w:val="28"/>
        </w:rPr>
        <w:fldChar w:fldCharType="separate"/>
      </w:r>
      <w:r>
        <w:rPr>
          <w:rFonts w:hint="eastAsia" w:ascii="宋体" w:hAnsi="宋体" w:eastAsia="宋体" w:cs="宋体"/>
          <w:bCs w:val="0"/>
          <w:szCs w:val="21"/>
        </w:rPr>
        <w:t>6 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_Toc10176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8"/>
        </w:rPr>
        <w:fldChar w:fldCharType="end"/>
      </w:r>
    </w:p>
    <w:p>
      <w:pPr>
        <w:pStyle w:val="28"/>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_Toc32378 </w:instrText>
      </w:r>
      <w:r>
        <w:rPr>
          <w:rFonts w:hint="eastAsia" w:ascii="宋体" w:hAnsi="宋体" w:eastAsia="宋体" w:cs="宋体"/>
          <w:szCs w:val="28"/>
        </w:rPr>
        <w:fldChar w:fldCharType="separate"/>
      </w:r>
      <w:r>
        <w:rPr>
          <w:rFonts w:hint="eastAsia" w:ascii="宋体" w:hAnsi="宋体" w:eastAsia="宋体" w:cs="宋体"/>
          <w:bCs w:val="0"/>
          <w:szCs w:val="21"/>
        </w:rPr>
        <w:t>6.1 评价要求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_Toc32378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8"/>
        </w:rPr>
        <w:fldChar w:fldCharType="end"/>
      </w:r>
    </w:p>
    <w:p>
      <w:pPr>
        <w:pStyle w:val="28"/>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_Toc9421 </w:instrText>
      </w:r>
      <w:r>
        <w:rPr>
          <w:rFonts w:hint="eastAsia" w:ascii="宋体" w:hAnsi="宋体" w:eastAsia="宋体" w:cs="宋体"/>
          <w:szCs w:val="28"/>
        </w:rPr>
        <w:fldChar w:fldCharType="separate"/>
      </w:r>
      <w:r>
        <w:rPr>
          <w:rFonts w:hint="eastAsia" w:ascii="宋体" w:hAnsi="宋体" w:eastAsia="宋体" w:cs="宋体"/>
          <w:bCs w:val="0"/>
          <w:szCs w:val="21"/>
          <w:lang w:val="en-US" w:eastAsia="zh-CN"/>
        </w:rPr>
        <w:t>6</w:t>
      </w:r>
      <w:r>
        <w:rPr>
          <w:rFonts w:hint="eastAsia" w:ascii="宋体" w:hAnsi="宋体" w:eastAsia="宋体" w:cs="宋体"/>
          <w:bCs w:val="0"/>
          <w:szCs w:val="21"/>
        </w:rPr>
        <w:t>.2 评价方式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_Toc9421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8"/>
        </w:rPr>
        <w:fldChar w:fldCharType="end"/>
      </w:r>
    </w:p>
    <w:p>
      <w:pPr>
        <w:pStyle w:val="28"/>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_Toc4867 </w:instrText>
      </w:r>
      <w:r>
        <w:rPr>
          <w:rFonts w:hint="eastAsia" w:ascii="宋体" w:hAnsi="宋体" w:eastAsia="宋体" w:cs="宋体"/>
          <w:szCs w:val="28"/>
        </w:rPr>
        <w:fldChar w:fldCharType="separate"/>
      </w:r>
      <w:r>
        <w:rPr>
          <w:rFonts w:hint="eastAsia" w:ascii="宋体" w:hAnsi="宋体" w:eastAsia="宋体" w:cs="宋体"/>
          <w:bCs w:val="0"/>
          <w:szCs w:val="21"/>
          <w:lang w:val="en-US" w:eastAsia="zh-CN"/>
        </w:rPr>
        <w:t>6</w:t>
      </w:r>
      <w:r>
        <w:rPr>
          <w:rFonts w:hint="eastAsia" w:ascii="宋体" w:hAnsi="宋体" w:eastAsia="宋体" w:cs="宋体"/>
          <w:bCs w:val="0"/>
          <w:szCs w:val="21"/>
        </w:rPr>
        <w:t>.3 评分及等级划分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_Toc4867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8"/>
        </w:rPr>
        <w:fldChar w:fldCharType="end"/>
      </w:r>
    </w:p>
    <w:p>
      <w:pPr>
        <w:pStyle w:val="19"/>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_Toc17091 </w:instrText>
      </w:r>
      <w:r>
        <w:rPr>
          <w:rFonts w:hint="eastAsia" w:ascii="宋体" w:hAnsi="宋体" w:eastAsia="宋体" w:cs="宋体"/>
          <w:szCs w:val="28"/>
        </w:rPr>
        <w:fldChar w:fldCharType="separate"/>
      </w:r>
      <w:r>
        <w:rPr>
          <w:rFonts w:hint="eastAsia" w:ascii="宋体" w:hAnsi="宋体" w:eastAsia="宋体" w:cs="宋体"/>
          <w:bCs w:val="0"/>
          <w:kern w:val="44"/>
          <w:szCs w:val="21"/>
          <w:lang w:val="en-US" w:eastAsia="zh-CN" w:bidi="ar-SA"/>
        </w:rPr>
        <w:t>附录 A</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_Toc17091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8"/>
        </w:rPr>
        <w:fldChar w:fldCharType="end"/>
      </w:r>
    </w:p>
    <w:p>
      <w:pPr>
        <w:pStyle w:val="19"/>
        <w:tabs>
          <w:tab w:val="right" w:leader="dot" w:pos="9355"/>
          <w:tab w:val="clear" w:pos="9241"/>
        </w:tabs>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_Toc10889 </w:instrText>
      </w:r>
      <w:r>
        <w:rPr>
          <w:rFonts w:hint="eastAsia" w:ascii="宋体" w:hAnsi="宋体" w:eastAsia="宋体" w:cs="宋体"/>
          <w:szCs w:val="28"/>
        </w:rPr>
        <w:fldChar w:fldCharType="separate"/>
      </w:r>
      <w:r>
        <w:rPr>
          <w:rFonts w:hint="eastAsia" w:ascii="宋体" w:hAnsi="宋体" w:eastAsia="宋体" w:cs="宋体"/>
          <w:bCs w:val="0"/>
          <w:kern w:val="44"/>
          <w:szCs w:val="21"/>
        </w:rPr>
        <w:t>附录 B</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_Toc10889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8"/>
        </w:rPr>
        <w:fldChar w:fldCharType="end"/>
      </w:r>
    </w:p>
    <w:p>
      <w:pPr>
        <w:spacing w:line="360" w:lineRule="auto"/>
        <w:jc w:val="center"/>
        <w:rPr>
          <w:rFonts w:hint="eastAsia" w:ascii="华文仿宋" w:hAnsi="华文仿宋" w:eastAsia="华文仿宋" w:cs="华文仿宋"/>
          <w:sz w:val="28"/>
          <w:szCs w:val="28"/>
        </w:rPr>
      </w:pPr>
      <w:r>
        <w:rPr>
          <w:rFonts w:hint="eastAsia" w:ascii="宋体" w:hAnsi="宋体" w:eastAsia="宋体" w:cs="宋体"/>
          <w:szCs w:val="28"/>
        </w:rPr>
        <w:fldChar w:fldCharType="end"/>
      </w:r>
    </w:p>
    <w:bookmarkEnd w:id="8"/>
    <w:p>
      <w:pPr>
        <w:pStyle w:val="55"/>
        <w:rPr>
          <w:rFonts w:hint="eastAsia"/>
        </w:rPr>
      </w:pPr>
      <w:bookmarkStart w:id="9" w:name="_Toc32072"/>
      <w:bookmarkStart w:id="10" w:name="_Toc15084"/>
      <w:r>
        <w:rPr>
          <w:rFonts w:hint="eastAsia"/>
        </w:rPr>
        <w:t>前</w:t>
      </w:r>
      <w:bookmarkStart w:id="11" w:name="BKQY"/>
      <w:r>
        <w:rPr>
          <w:rFonts w:hAnsi="黑体"/>
        </w:rPr>
        <w:t>  </w:t>
      </w:r>
      <w:r>
        <w:rPr>
          <w:rFonts w:hint="eastAsia"/>
        </w:rPr>
        <w:t>言</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华文仿宋" w:hAnsi="华文仿宋" w:eastAsia="华文仿宋"/>
          <w:b/>
          <w:sz w:val="28"/>
          <w:szCs w:val="28"/>
        </w:rPr>
        <w:t xml:space="preserve">    </w:t>
      </w:r>
      <w:r>
        <w:rPr>
          <w:rFonts w:hint="eastAsia" w:ascii="宋体" w:hAnsi="宋体" w:eastAsia="宋体" w:cs="宋体"/>
          <w:sz w:val="21"/>
          <w:szCs w:val="21"/>
        </w:rPr>
        <w:t xml:space="preserve">本标准主要参考了绿色生态有关国家标准、行业标准及相关研究成果，并结合中国绿色发展、生态文明建设及低碳发展的实践和实际业务开展情况进行的修定。本标准中如有与现行法律，法规相抵触时服从现行法律法规执行；本评价标准的不完善之处，可以在运行过程中不断修改和完善。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本标准由广东省知识产权投融资促进会提出并归口。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本标准起草单位：</w:t>
      </w:r>
      <w:r>
        <w:rPr>
          <w:rFonts w:hint="eastAsia" w:ascii="宋体" w:hAnsi="宋体" w:eastAsia="宋体" w:cs="宋体"/>
          <w:sz w:val="21"/>
          <w:szCs w:val="21"/>
          <w:lang w:val="en-US" w:eastAsia="zh-CN"/>
        </w:rPr>
        <w:t>广东省绿色生态发展评估与推广中心</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广州维港环保科技有限公司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佛山市南海雄科纺织有限公司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广东广禄环保科技有限公司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广东新润成陶瓷有限公司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中国质量认证中心广州分中心</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广东省包装技术协会</w:t>
      </w:r>
      <w:r>
        <w:rPr>
          <w:rFonts w:hint="eastAsia" w:ascii="宋体" w:hAnsi="宋体" w:cs="宋体"/>
          <w:sz w:val="21"/>
          <w:szCs w:val="21"/>
          <w:lang w:val="en-US" w:eastAsia="zh-CN"/>
        </w:rPr>
        <w:t>、</w:t>
      </w:r>
      <w:r>
        <w:rPr>
          <w:rFonts w:hint="eastAsia" w:ascii="宋体" w:hAnsi="宋体" w:eastAsia="宋体" w:cs="宋体"/>
          <w:sz w:val="21"/>
          <w:szCs w:val="21"/>
        </w:rPr>
        <w:t>广东省知识产权投融资促进会</w:t>
      </w:r>
      <w:r>
        <w:rPr>
          <w:rFonts w:hint="eastAsia" w:ascii="宋体" w:hAnsi="宋体" w:cs="宋体"/>
          <w:sz w:val="21"/>
          <w:szCs w:val="21"/>
          <w:lang w:eastAsia="zh-CN"/>
        </w:rPr>
        <w:t>、</w:t>
      </w:r>
      <w:r>
        <w:rPr>
          <w:rFonts w:hint="eastAsia" w:ascii="宋体" w:hAnsi="宋体" w:eastAsia="宋体" w:cs="宋体"/>
          <w:sz w:val="21"/>
          <w:szCs w:val="21"/>
          <w:lang w:val="en-US" w:eastAsia="zh-CN"/>
        </w:rPr>
        <w:t>广东省江西景德镇商会</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深圳中质安股份有限公司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中节能咨询有限公司广东分公司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中科院广州电子技术有限公司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广州南大环保科技有限公司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广东省环境保护基金会</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广东食品药品职业学院药学院</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佛山市节能减排服务管理中心有限公司</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本标准主要起草人：</w:t>
      </w:r>
      <w:r>
        <w:rPr>
          <w:rFonts w:hint="eastAsia" w:ascii="宋体" w:hAnsi="宋体" w:eastAsia="宋体" w:cs="宋体"/>
          <w:sz w:val="21"/>
          <w:szCs w:val="21"/>
          <w:lang w:eastAsia="zh-CN"/>
        </w:rPr>
        <w:t>曾锲、王鹏、王志成、程雄太、钟敏锋、梁文勇、朱智伟、朱宝甜、陈凯、李水生、</w:t>
      </w:r>
      <w:r>
        <w:rPr>
          <w:rFonts w:hint="eastAsia" w:ascii="宋体" w:hAnsi="宋体" w:eastAsia="宋体" w:cs="宋体"/>
          <w:sz w:val="21"/>
          <w:szCs w:val="21"/>
          <w:lang w:val="en-US" w:eastAsia="zh-CN"/>
        </w:rPr>
        <w:t>周新华、陈修杰、黄泽文、陆天才、李少珍、陈碧姚、童俊军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sectPr>
          <w:headerReference r:id="rId7" w:type="default"/>
          <w:footerReference r:id="rId9" w:type="default"/>
          <w:headerReference r:id="rId8" w:type="even"/>
          <w:footerReference r:id="rId10" w:type="even"/>
          <w:pgSz w:w="11906" w:h="16838"/>
          <w:pgMar w:top="567" w:right="1134" w:bottom="1134" w:left="1417" w:header="1417" w:footer="1134" w:gutter="0"/>
          <w:pgNumType w:fmt="upperRoman" w:start="1"/>
          <w:cols w:space="0" w:num="1"/>
          <w:rtlGutter w:val="0"/>
          <w:docGrid w:type="lines" w:linePitch="312" w:charSpace="0"/>
        </w:sectPr>
      </w:pPr>
      <w:r>
        <w:rPr>
          <w:rFonts w:hint="eastAsia" w:ascii="宋体" w:hAnsi="宋体" w:eastAsia="宋体" w:cs="宋体"/>
          <w:sz w:val="21"/>
          <w:szCs w:val="21"/>
        </w:rPr>
        <w:t>本标准是首次发布。</w:t>
      </w:r>
    </w:p>
    <w:p>
      <w:pPr>
        <w:keepNext w:val="0"/>
        <w:keepLines w:val="0"/>
        <w:pageBreakBefore w:val="0"/>
        <w:widowControl w:val="0"/>
        <w:tabs>
          <w:tab w:val="left" w:pos="1050"/>
        </w:tabs>
        <w:kinsoku/>
        <w:wordWrap/>
        <w:overflowPunct/>
        <w:topLinePunct w:val="0"/>
        <w:autoSpaceDE w:val="0"/>
        <w:autoSpaceDN w:val="0"/>
        <w:bidi w:val="0"/>
        <w:adjustRightInd w:val="0"/>
        <w:snapToGrid/>
        <w:spacing w:before="640" w:after="560" w:line="460" w:lineRule="exact"/>
        <w:jc w:val="center"/>
        <w:textAlignment w:val="auto"/>
        <w:outlineLvl w:val="9"/>
        <w:rPr>
          <w:rFonts w:ascii="黑体" w:eastAsia="黑体" w:cs="黑体"/>
          <w:kern w:val="0"/>
          <w:sz w:val="36"/>
          <w:szCs w:val="36"/>
        </w:rPr>
      </w:pPr>
      <w:bookmarkStart w:id="12" w:name="_Toc800"/>
      <w:r>
        <w:rPr>
          <w:rFonts w:hint="eastAsia" w:ascii="黑体" w:hAnsi="Times New Roman" w:eastAsia="黑体" w:cs="Times New Roman"/>
          <w:kern w:val="0"/>
          <w:sz w:val="32"/>
          <w:szCs w:val="20"/>
          <w:lang w:val="en-US" w:eastAsia="zh-CN" w:bidi="ar-SA"/>
        </w:rPr>
        <w:t>绿色生态发展企业评价</w:t>
      </w:r>
      <w:bookmarkEnd w:id="12"/>
      <w:r>
        <w:rPr>
          <w:rFonts w:hint="eastAsia" w:ascii="黑体" w:hAnsi="Times New Roman" w:eastAsia="黑体" w:cs="Times New Roman"/>
          <w:kern w:val="0"/>
          <w:sz w:val="32"/>
          <w:szCs w:val="20"/>
          <w:lang w:val="en-US" w:eastAsia="zh-CN" w:bidi="ar-SA"/>
        </w:rPr>
        <w:t>通则</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13" w:name="_Toc7770"/>
      <w:bookmarkStart w:id="14" w:name="_Toc42692219"/>
      <w:bookmarkStart w:id="15" w:name="_Toc2746"/>
      <w:bookmarkStart w:id="16" w:name="_Toc376_WPSOffice_Level1"/>
      <w:bookmarkStart w:id="17" w:name="_Toc25631"/>
      <w:r>
        <w:rPr>
          <w:rFonts w:hint="eastAsia" w:ascii="黑体" w:hAnsi="黑体" w:eastAsia="黑体" w:cs="黑体"/>
          <w:b w:val="0"/>
          <w:bCs w:val="0"/>
          <w:sz w:val="21"/>
          <w:szCs w:val="21"/>
        </w:rPr>
        <w:t>1 范围</w:t>
      </w:r>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本标准规定了绿色生态发展企业评价（以下简称“评价”）的基本原则、评价方法、评价内容及指标、及通用要求。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本标准适用于类型企业，作为制定绿色生态发展企业评价标准或具体要求的总体要求。</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18" w:name="_Toc6643"/>
      <w:bookmarkStart w:id="19" w:name="_Toc1337"/>
      <w:bookmarkStart w:id="20" w:name="_Toc2034"/>
      <w:r>
        <w:rPr>
          <w:rFonts w:hint="eastAsia" w:ascii="黑体" w:hAnsi="黑体" w:eastAsia="黑体" w:cs="黑体"/>
          <w:b w:val="0"/>
          <w:bCs w:val="0"/>
          <w:sz w:val="21"/>
          <w:szCs w:val="21"/>
        </w:rPr>
        <w:t>2 规范性引用文件</w:t>
      </w:r>
      <w:bookmarkEnd w:id="18"/>
      <w:bookmarkEnd w:id="19"/>
      <w:bookmarkEnd w:id="20"/>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下列文件对于本文件的应用是必不可少的。凡是注日期的引用文件，仅注日期的版本适用于本文件。凡是不注日期的引用文件，其最新版本（包括所有修改单）适用于本文件。</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《中共中央 国务院关于加快推进生态文明建设的意见》（中发〔2015〕12号）</w:t>
      </w:r>
    </w:p>
    <w:p>
      <w:pPr>
        <w:keepNext w:val="0"/>
        <w:keepLines w:val="0"/>
        <w:pageBreakBefore w:val="0"/>
        <w:widowControl/>
        <w:tabs>
          <w:tab w:val="left" w:pos="6479"/>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《企业环境信用评价办法（试行）》（环发〔2013〕150号）</w:t>
      </w:r>
      <w:r>
        <w:rPr>
          <w:rFonts w:hint="eastAsia" w:ascii="宋体" w:hAnsi="宋体" w:cs="宋体"/>
          <w:sz w:val="21"/>
          <w:szCs w:val="21"/>
          <w:lang w:eastAsia="zh-CN"/>
        </w:rPr>
        <w:tab/>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《绿色产业指导目录》（发改环资〔2019〕293号）</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《绿色制造体系管理暂行办法》（征求意见稿）</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国家标准委《生态文明建设标准体系发展行动指南（2018-2020年）》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 4754 国民经济行业分类</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GB/T36132 绿色工厂评价通则</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21" w:name="_Toc1683"/>
      <w:bookmarkStart w:id="22" w:name="_Toc19669"/>
      <w:bookmarkStart w:id="23" w:name="_Toc6452"/>
      <w:r>
        <w:rPr>
          <w:rFonts w:hint="eastAsia" w:ascii="黑体" w:hAnsi="黑体" w:eastAsia="黑体" w:cs="黑体"/>
          <w:b w:val="0"/>
          <w:bCs w:val="0"/>
          <w:sz w:val="21"/>
          <w:szCs w:val="21"/>
        </w:rPr>
        <w:t>3 术语和定义</w:t>
      </w:r>
      <w:bookmarkEnd w:id="21"/>
      <w:bookmarkEnd w:id="22"/>
      <w:bookmarkEnd w:id="23"/>
    </w:p>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黑体" w:hAnsi="黑体" w:eastAsia="黑体" w:cs="黑体"/>
          <w:b w:val="0"/>
          <w:bCs w:val="0"/>
          <w:sz w:val="21"/>
          <w:szCs w:val="21"/>
        </w:rPr>
      </w:pPr>
      <w:bookmarkStart w:id="24" w:name="_Toc13061"/>
      <w:r>
        <w:rPr>
          <w:rFonts w:hint="eastAsia" w:ascii="黑体" w:hAnsi="黑体" w:eastAsia="黑体" w:cs="黑体"/>
          <w:b w:val="0"/>
          <w:bCs w:val="0"/>
          <w:sz w:val="21"/>
          <w:szCs w:val="21"/>
        </w:rPr>
        <w:t>3.1 绿色生态发展企业</w:t>
      </w:r>
      <w:bookmarkEnd w:id="24"/>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包含三个层面内涵：一是“绿色”路径，选择设计开发生态化、生产经营清洁化、资源利用高效化、环境影响最小化的发展路径；二是“生态”文明，以“绿水青山就是金山银山”为原则，构建资源节约、低碳环保、文明和谐的企业生态文明制度体系；三是“发展”成熟度，采用成熟度的方法，评价企业持续改进提升绿色生态水平的表现及在其所处行业中的等级。</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黑体" w:hAnsi="黑体" w:eastAsia="黑体" w:cs="黑体"/>
          <w:b w:val="0"/>
          <w:bCs w:val="0"/>
          <w:sz w:val="21"/>
          <w:szCs w:val="21"/>
        </w:rPr>
      </w:pPr>
      <w:bookmarkStart w:id="25" w:name="_Toc21280"/>
      <w:r>
        <w:rPr>
          <w:rFonts w:hint="eastAsia" w:ascii="黑体" w:hAnsi="黑体" w:eastAsia="黑体" w:cs="黑体"/>
          <w:b w:val="0"/>
          <w:bCs w:val="0"/>
          <w:sz w:val="21"/>
          <w:szCs w:val="21"/>
        </w:rPr>
        <w:t>3.2 绿色生态发展等级</w:t>
      </w:r>
      <w:bookmarkEnd w:id="25"/>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受评企业在一定时期内各种生产经营活动中，绿色生态发展成熟度的标识，是企业在其所处行业中绿色生态发展水平高低的量化尺度。</w:t>
      </w:r>
      <w:bookmarkStart w:id="56" w:name="_GoBack"/>
      <w:bookmarkEnd w:id="56"/>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26" w:name="_Toc30634"/>
      <w:bookmarkStart w:id="27" w:name="_Toc12873"/>
      <w:bookmarkStart w:id="28" w:name="_Toc26409"/>
      <w:bookmarkStart w:id="29" w:name="_Toc19531"/>
      <w:r>
        <w:rPr>
          <w:rFonts w:hint="eastAsia" w:ascii="黑体" w:hAnsi="黑体" w:eastAsia="黑体" w:cs="黑体"/>
          <w:b w:val="0"/>
          <w:bCs w:val="0"/>
          <w:sz w:val="21"/>
          <w:szCs w:val="21"/>
        </w:rPr>
        <w:t>4</w:t>
      </w:r>
      <w:bookmarkEnd w:id="26"/>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基本原则</w:t>
      </w:r>
      <w:bookmarkEnd w:id="27"/>
      <w:bookmarkEnd w:id="28"/>
    </w:p>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黑体" w:hAnsi="黑体" w:eastAsia="黑体" w:cs="黑体"/>
          <w:b w:val="0"/>
          <w:bCs w:val="0"/>
          <w:sz w:val="21"/>
          <w:szCs w:val="21"/>
        </w:rPr>
      </w:pPr>
      <w:bookmarkStart w:id="30" w:name="_Toc24555"/>
      <w:r>
        <w:rPr>
          <w:rFonts w:hint="eastAsia" w:ascii="黑体" w:hAnsi="黑体" w:eastAsia="黑体" w:cs="黑体"/>
          <w:b w:val="0"/>
          <w:bCs w:val="0"/>
          <w:sz w:val="21"/>
          <w:szCs w:val="21"/>
        </w:rPr>
        <w:t>4.1 行业类别确定等级</w:t>
      </w:r>
      <w:bookmarkEnd w:id="30"/>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依据GB/T 4754，以制造业为主，根据行业的绿色生态指标特点，选取生态环境影响大、社会示范效应强、产业升级急需的行业作为绿色生态发展企业评价对象，并将具有类似绿色生态特性指标的行业归为一类。</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黑体" w:hAnsi="黑体" w:eastAsia="黑体" w:cs="黑体"/>
          <w:b w:val="0"/>
          <w:bCs w:val="0"/>
          <w:sz w:val="21"/>
          <w:szCs w:val="21"/>
        </w:rPr>
      </w:pPr>
      <w:bookmarkStart w:id="31" w:name="_Toc24896"/>
      <w:r>
        <w:rPr>
          <w:rFonts w:hint="eastAsia" w:ascii="黑体" w:hAnsi="黑体" w:eastAsia="黑体" w:cs="黑体"/>
          <w:b w:val="0"/>
          <w:bCs w:val="0"/>
          <w:sz w:val="21"/>
          <w:szCs w:val="21"/>
        </w:rPr>
        <w:t>4.2 指标选取原则</w:t>
      </w:r>
      <w:bookmarkEnd w:id="31"/>
    </w:p>
    <w:p>
      <w:pPr>
        <w:pStyle w:val="4"/>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2"/>
        <w:rPr>
          <w:rFonts w:hint="eastAsia" w:ascii="黑体" w:hAnsi="黑体" w:eastAsia="黑体" w:cs="黑体"/>
          <w:b w:val="0"/>
          <w:bCs w:val="0"/>
          <w:sz w:val="21"/>
          <w:szCs w:val="21"/>
        </w:rPr>
      </w:pPr>
      <w:bookmarkStart w:id="32" w:name="_Toc15332"/>
      <w:r>
        <w:rPr>
          <w:rFonts w:hint="eastAsia" w:ascii="黑体" w:hAnsi="黑体" w:eastAsia="黑体" w:cs="黑体"/>
          <w:b w:val="0"/>
          <w:bCs w:val="0"/>
          <w:sz w:val="21"/>
          <w:szCs w:val="21"/>
        </w:rPr>
        <w:t>4.2.1 遵循“系统性”原则</w:t>
      </w:r>
      <w:bookmarkEnd w:id="32"/>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遵循系统的、整体的分析原则，采用循环经济3R原则（减量化、再利用、再循环)，及全生命周期评价（LCA）的理论及方法，融合生态文明理论和绿色发展理念，评价指标采取定性与定量相结合、过程与绩效相结合的方式，注重评价指标的系统性和完整性。</w:t>
      </w:r>
    </w:p>
    <w:p>
      <w:pPr>
        <w:pStyle w:val="4"/>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2"/>
        <w:rPr>
          <w:rFonts w:hint="eastAsia" w:ascii="黑体" w:hAnsi="黑体" w:eastAsia="黑体" w:cs="黑体"/>
          <w:b w:val="0"/>
          <w:bCs w:val="0"/>
          <w:sz w:val="21"/>
          <w:szCs w:val="21"/>
        </w:rPr>
      </w:pPr>
      <w:bookmarkStart w:id="33" w:name="_Toc27583"/>
      <w:r>
        <w:rPr>
          <w:rFonts w:hint="eastAsia" w:ascii="黑体" w:hAnsi="黑体" w:eastAsia="黑体" w:cs="黑体"/>
          <w:b w:val="0"/>
          <w:bCs w:val="0"/>
          <w:sz w:val="21"/>
          <w:szCs w:val="21"/>
        </w:rPr>
        <w:t>4.2.2 遵循“代表性”与“适用性”结合原则</w:t>
      </w:r>
      <w:bookmarkEnd w:id="33"/>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抓住主要矛盾，选取对环境影响大、示范效应强、企业关注度高的绿色生态指标，确保所选指标具有代表性，结合行业的主要企业实际，充分考虑到指标的量化与数据取得的难易程度和可靠性。</w:t>
      </w:r>
    </w:p>
    <w:p>
      <w:pPr>
        <w:pStyle w:val="4"/>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2"/>
        <w:rPr>
          <w:rFonts w:hint="eastAsia" w:ascii="黑体" w:hAnsi="黑体" w:eastAsia="黑体" w:cs="黑体"/>
          <w:b w:val="0"/>
          <w:bCs w:val="0"/>
          <w:sz w:val="21"/>
          <w:szCs w:val="21"/>
        </w:rPr>
      </w:pPr>
      <w:bookmarkStart w:id="34" w:name="_Toc18891"/>
      <w:r>
        <w:rPr>
          <w:rFonts w:hint="eastAsia" w:ascii="黑体" w:hAnsi="黑体" w:eastAsia="黑体" w:cs="黑体"/>
          <w:b w:val="0"/>
          <w:bCs w:val="0"/>
          <w:sz w:val="21"/>
          <w:szCs w:val="21"/>
        </w:rPr>
        <w:t>4.2.3 遵循“动态性”原则</w:t>
      </w:r>
      <w:bookmarkEnd w:id="34"/>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运用成熟度评价模型于绿色生态评价，客观反映被评对象过去与当前绿色生态发展状况与水平的基础上，侧重对被评对象现在及未来一段时间内的持续改进提升潜力与意愿进行分析与判断。</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35" w:name="_Toc31297"/>
      <w:bookmarkStart w:id="36" w:name="_Toc8193"/>
      <w:r>
        <w:rPr>
          <w:rFonts w:hint="eastAsia" w:ascii="黑体" w:hAnsi="黑体" w:eastAsia="黑体" w:cs="黑体"/>
          <w:b w:val="0"/>
          <w:bCs w:val="0"/>
          <w:sz w:val="21"/>
          <w:szCs w:val="21"/>
        </w:rPr>
        <w:t>5</w:t>
      </w:r>
      <w:bookmarkEnd w:id="29"/>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指标体系</w:t>
      </w:r>
      <w:bookmarkEnd w:id="35"/>
      <w:bookmarkEnd w:id="36"/>
    </w:p>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黑体" w:hAnsi="黑体" w:eastAsia="黑体" w:cs="黑体"/>
          <w:b w:val="0"/>
          <w:bCs w:val="0"/>
          <w:sz w:val="21"/>
          <w:szCs w:val="21"/>
        </w:rPr>
      </w:pPr>
      <w:bookmarkStart w:id="37" w:name="_Toc24769"/>
      <w:r>
        <w:rPr>
          <w:rFonts w:hint="eastAsia" w:ascii="黑体" w:hAnsi="黑体" w:eastAsia="黑体" w:cs="黑体"/>
          <w:b w:val="0"/>
          <w:bCs w:val="0"/>
          <w:sz w:val="21"/>
          <w:szCs w:val="21"/>
        </w:rPr>
        <w:t>5.1 指标体系框架</w:t>
      </w:r>
      <w:bookmarkEnd w:id="37"/>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评价指标体系包括基本要求和评价指标要求两部分，基本要求宜包括应满足的法律法规、政策及技术标准等方面的要求；评价指标宜包括规划治理、生产经营及组织绩效等三类一级指标，在一级指标下设置可量化、可评估、可验证的二级指标，如果有必要，可以进一步设置三级指标。不同类别行业的三级、二级乃至一级指标可依据行业特点与需求选择，具体绿色生态发展企业评价标准内容框架见附录A。</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黑体" w:hAnsi="黑体" w:eastAsia="黑体" w:cs="黑体"/>
          <w:b w:val="0"/>
          <w:bCs w:val="0"/>
          <w:sz w:val="21"/>
          <w:szCs w:val="21"/>
        </w:rPr>
      </w:pPr>
      <w:bookmarkStart w:id="38" w:name="_Toc22286"/>
      <w:r>
        <w:rPr>
          <w:rFonts w:hint="eastAsia" w:ascii="黑体" w:hAnsi="黑体" w:eastAsia="黑体" w:cs="黑体"/>
          <w:b w:val="0"/>
          <w:bCs w:val="0"/>
          <w:sz w:val="21"/>
          <w:szCs w:val="21"/>
        </w:rPr>
        <w:t>5.2 基本要求</w:t>
      </w:r>
      <w:bookmarkEnd w:id="38"/>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绿色生态发展企业应依法设立，在建设、生产或运营过程中应遵守有关法律、法规、政策和标准，近三年（含成立不足三年）无较大及以上安全、环保、质量等事故。</w:t>
      </w:r>
    </w:p>
    <w:p>
      <w:pPr>
        <w:spacing w:line="360" w:lineRule="auto"/>
        <w:ind w:firstLine="420" w:firstLineChars="200"/>
        <w:rPr>
          <w:b/>
          <w:bCs/>
          <w:kern w:val="44"/>
          <w:sz w:val="30"/>
          <w:szCs w:val="30"/>
        </w:rPr>
      </w:pPr>
      <w:r>
        <w:rPr>
          <w:rFonts w:hint="eastAsia" w:ascii="宋体" w:hAnsi="宋体" w:eastAsia="宋体" w:cs="宋体"/>
          <w:sz w:val="21"/>
          <w:szCs w:val="21"/>
        </w:rPr>
        <w:t>对于存在未批先建，私设暗管排放、倾倒、处置水污染物，私设旁路排放大气污染物，非法排放、倾倒、处置危险废物等特定环境违法行为的企业采取“一票否决制”，不接受评级。</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黑体" w:hAnsi="黑体" w:eastAsia="黑体" w:cs="黑体"/>
          <w:b w:val="0"/>
          <w:bCs w:val="0"/>
          <w:sz w:val="21"/>
          <w:szCs w:val="21"/>
        </w:rPr>
      </w:pPr>
      <w:bookmarkStart w:id="39" w:name="_Toc622"/>
      <w:r>
        <w:rPr>
          <w:rFonts w:hint="eastAsia" w:ascii="黑体" w:hAnsi="黑体" w:eastAsia="黑体" w:cs="黑体"/>
          <w:b w:val="0"/>
          <w:bCs w:val="0"/>
          <w:sz w:val="21"/>
          <w:szCs w:val="21"/>
        </w:rPr>
        <w:t>5.3 评价指标要求</w:t>
      </w:r>
      <w:bookmarkEnd w:id="39"/>
    </w:p>
    <w:p>
      <w:pPr>
        <w:pStyle w:val="4"/>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2"/>
        <w:rPr>
          <w:rFonts w:hint="eastAsia" w:ascii="黑体" w:hAnsi="黑体" w:eastAsia="黑体" w:cs="黑体"/>
          <w:b w:val="0"/>
          <w:bCs w:val="0"/>
          <w:sz w:val="21"/>
          <w:szCs w:val="21"/>
        </w:rPr>
      </w:pPr>
      <w:bookmarkStart w:id="40" w:name="_Toc28070"/>
      <w:r>
        <w:rPr>
          <w:rFonts w:hint="eastAsia" w:ascii="黑体" w:hAnsi="黑体" w:eastAsia="黑体" w:cs="黑体"/>
          <w:b w:val="0"/>
          <w:bCs w:val="0"/>
          <w:sz w:val="21"/>
          <w:szCs w:val="21"/>
        </w:rPr>
        <w:t>5.3.1规划治理指标</w:t>
      </w:r>
      <w:bookmarkEnd w:id="40"/>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重点选取发展规划、治理体系、文化理念、社会责任、公共关系等与企业生态文明制度建设相关的指标。 </w:t>
      </w:r>
    </w:p>
    <w:p>
      <w:pPr>
        <w:pStyle w:val="4"/>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2"/>
        <w:rPr>
          <w:rFonts w:hint="eastAsia" w:ascii="黑体" w:hAnsi="黑体" w:eastAsia="黑体" w:cs="黑体"/>
          <w:b w:val="0"/>
          <w:bCs w:val="0"/>
          <w:sz w:val="21"/>
          <w:szCs w:val="21"/>
        </w:rPr>
      </w:pPr>
      <w:bookmarkStart w:id="41" w:name="_Toc23401"/>
      <w:r>
        <w:rPr>
          <w:rFonts w:hint="eastAsia" w:ascii="黑体" w:hAnsi="黑体" w:eastAsia="黑体" w:cs="黑体"/>
          <w:b w:val="0"/>
          <w:bCs w:val="0"/>
          <w:sz w:val="21"/>
          <w:szCs w:val="21"/>
        </w:rPr>
        <w:t>5.3.2 生产经营指标</w:t>
      </w:r>
      <w:bookmarkEnd w:id="41"/>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重点选取绿色研发、绿色设计、绿色生产、绿色供应链、绿色经营、绿色服务等与企业生产经营绿色路径相关的指标。</w:t>
      </w:r>
    </w:p>
    <w:p>
      <w:pPr>
        <w:pStyle w:val="4"/>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2"/>
        <w:rPr>
          <w:rFonts w:hint="eastAsia" w:ascii="黑体" w:hAnsi="黑体" w:eastAsia="黑体" w:cs="黑体"/>
          <w:b w:val="0"/>
          <w:bCs w:val="0"/>
          <w:sz w:val="21"/>
          <w:szCs w:val="21"/>
        </w:rPr>
      </w:pPr>
      <w:bookmarkStart w:id="42" w:name="_Toc23950"/>
      <w:r>
        <w:rPr>
          <w:rFonts w:hint="eastAsia" w:ascii="黑体" w:hAnsi="黑体" w:eastAsia="黑体" w:cs="黑体"/>
          <w:b w:val="0"/>
          <w:bCs w:val="0"/>
          <w:sz w:val="21"/>
          <w:szCs w:val="21"/>
        </w:rPr>
        <w:t>5.3.3 组织绩效</w:t>
      </w:r>
      <w:bookmarkEnd w:id="42"/>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重点选取经济绩效、环境绩效、社会绩效、组织绩效等方面与企业绿色生态发展成熟度水平相关的指标。</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43" w:name="_Toc12365"/>
      <w:bookmarkStart w:id="44" w:name="_Toc10176"/>
      <w:bookmarkStart w:id="45" w:name="_Toc29136"/>
      <w:r>
        <w:rPr>
          <w:rFonts w:hint="eastAsia" w:ascii="黑体" w:hAnsi="黑体" w:eastAsia="黑体" w:cs="黑体"/>
          <w:b w:val="0"/>
          <w:bCs w:val="0"/>
          <w:sz w:val="21"/>
          <w:szCs w:val="21"/>
        </w:rPr>
        <w:t xml:space="preserve">6 </w:t>
      </w:r>
      <w:bookmarkEnd w:id="43"/>
      <w:r>
        <w:rPr>
          <w:rFonts w:hint="eastAsia" w:ascii="黑体" w:hAnsi="黑体" w:eastAsia="黑体" w:cs="黑体"/>
          <w:b w:val="0"/>
          <w:bCs w:val="0"/>
          <w:sz w:val="21"/>
          <w:szCs w:val="21"/>
        </w:rPr>
        <w:t>评价</w:t>
      </w:r>
      <w:bookmarkEnd w:id="44"/>
      <w:bookmarkEnd w:id="45"/>
    </w:p>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黑体" w:hAnsi="黑体" w:eastAsia="黑体" w:cs="黑体"/>
          <w:b w:val="0"/>
          <w:bCs w:val="0"/>
          <w:sz w:val="21"/>
          <w:szCs w:val="21"/>
        </w:rPr>
      </w:pPr>
      <w:bookmarkStart w:id="46" w:name="_Toc32378"/>
      <w:r>
        <w:rPr>
          <w:rFonts w:hint="eastAsia" w:ascii="黑体" w:hAnsi="黑体" w:eastAsia="黑体" w:cs="黑体"/>
          <w:b w:val="0"/>
          <w:bCs w:val="0"/>
          <w:sz w:val="21"/>
          <w:szCs w:val="21"/>
        </w:rPr>
        <w:t>6.1 评价要求</w:t>
      </w:r>
      <w:bookmarkEnd w:id="46"/>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展绿色生态发展评价，宜根据各行业的不同特点制定评价导则，并制定相应的具体评价方案。其中，评价导则应围绕第4章～第5章明确行业的特性要求，评价方案应明确评价的具体指标值和权重值、评分标准等。</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黑体" w:hAnsi="黑体" w:eastAsia="黑体" w:cs="黑体"/>
          <w:b w:val="0"/>
          <w:bCs w:val="0"/>
          <w:sz w:val="21"/>
          <w:szCs w:val="21"/>
        </w:rPr>
      </w:pPr>
      <w:bookmarkStart w:id="47" w:name="_Toc9421"/>
      <w:r>
        <w:rPr>
          <w:rFonts w:hint="eastAsia" w:ascii="黑体" w:hAnsi="黑体" w:cs="黑体"/>
          <w:b w:val="0"/>
          <w:bCs w:val="0"/>
          <w:sz w:val="21"/>
          <w:szCs w:val="21"/>
          <w:lang w:val="en-US" w:eastAsia="zh-CN"/>
        </w:rPr>
        <w:t>6</w:t>
      </w:r>
      <w:r>
        <w:rPr>
          <w:rFonts w:hint="eastAsia" w:ascii="黑体" w:hAnsi="黑体" w:eastAsia="黑体" w:cs="黑体"/>
          <w:b w:val="0"/>
          <w:bCs w:val="0"/>
          <w:sz w:val="21"/>
          <w:szCs w:val="21"/>
        </w:rPr>
        <w:t>.2 评价方式</w:t>
      </w:r>
      <w:bookmarkEnd w:id="47"/>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绿色生态发展企业评价可由第一方、第二方或第三方组织。当评价结果用于对外宣告是，则评价方至少应包括独立于企业、具备相应能力的第三方组织。</w:t>
      </w:r>
    </w:p>
    <w:p>
      <w:pPr>
        <w:spacing w:line="360" w:lineRule="auto"/>
        <w:ind w:firstLine="570"/>
        <w:rPr>
          <w:rFonts w:ascii="华文仿宋" w:hAnsi="华文仿宋" w:eastAsia="华文仿宋" w:cs="宋体"/>
          <w:szCs w:val="21"/>
        </w:rPr>
      </w:pPr>
      <w:r>
        <w:rPr>
          <w:rFonts w:hint="eastAsia" w:ascii="黑体" w:hAnsi="黑体" w:eastAsia="黑体" w:cs="黑体"/>
          <w:sz w:val="18"/>
          <w:szCs w:val="18"/>
        </w:rPr>
        <w:t>注：</w:t>
      </w:r>
      <w:r>
        <w:rPr>
          <w:rFonts w:hint="eastAsia" w:ascii="宋体" w:hAnsi="宋体" w:eastAsia="宋体" w:cs="宋体"/>
          <w:sz w:val="18"/>
          <w:szCs w:val="18"/>
        </w:rPr>
        <w:t>针对被评价组织，第一方为组织自身，第二方为组织的相关方，第三方为与组织没有直接关系的其他组织。</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实施评价的组织应查看报告文件、统计报表、原始记录，并根据实际情况，开展对相关人员的座谈；采用实地调查、抽样调查等方式收集评价证据，并确保证据的完整性和准确性。</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黑体" w:hAnsi="黑体" w:eastAsia="黑体" w:cs="黑体"/>
          <w:b w:val="0"/>
          <w:bCs w:val="0"/>
          <w:sz w:val="21"/>
          <w:szCs w:val="21"/>
        </w:rPr>
      </w:pPr>
      <w:bookmarkStart w:id="48" w:name="_Toc4867"/>
      <w:r>
        <w:rPr>
          <w:rFonts w:hint="eastAsia" w:ascii="黑体" w:hAnsi="黑体" w:cs="黑体"/>
          <w:b w:val="0"/>
          <w:bCs w:val="0"/>
          <w:sz w:val="21"/>
          <w:szCs w:val="21"/>
          <w:lang w:val="en-US" w:eastAsia="zh-CN"/>
        </w:rPr>
        <w:t>6</w:t>
      </w:r>
      <w:r>
        <w:rPr>
          <w:rFonts w:hint="eastAsia" w:ascii="黑体" w:hAnsi="黑体" w:eastAsia="黑体" w:cs="黑体"/>
          <w:b w:val="0"/>
          <w:bCs w:val="0"/>
          <w:sz w:val="21"/>
          <w:szCs w:val="21"/>
        </w:rPr>
        <w:t>.3 评分及等级划分</w:t>
      </w:r>
      <w:bookmarkEnd w:id="48"/>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实施评价的组织应对评价证据进行分析，根据企业综合评分和等级划分标准给企业进行评级，企业绿色生态发展等级划分标准及释义见表2。</w:t>
      </w:r>
      <w:bookmarkStart w:id="49" w:name="_Toc2247"/>
    </w:p>
    <w:bookmarkEnd w:id="49"/>
    <w:p>
      <w:pPr>
        <w:spacing w:line="360" w:lineRule="auto"/>
        <w:ind w:firstLine="560" w:firstLineChars="200"/>
        <w:rPr>
          <w:rFonts w:ascii="华文仿宋" w:hAnsi="华文仿宋" w:eastAsia="华文仿宋" w:cs="宋体"/>
          <w:sz w:val="28"/>
          <w:szCs w:val="28"/>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黑体" w:hAnsi="黑体" w:eastAsia="黑体" w:cs="黑体"/>
          <w:b w:val="0"/>
          <w:bCs w:val="0"/>
          <w:kern w:val="44"/>
          <w:sz w:val="21"/>
          <w:szCs w:val="21"/>
          <w:lang w:val="en-US" w:eastAsia="zh-CN" w:bidi="ar-SA"/>
        </w:rPr>
      </w:pPr>
      <w:r>
        <w:rPr>
          <w:rFonts w:ascii="宋体" w:cs="宋体"/>
          <w:kern w:val="0"/>
          <w:szCs w:val="21"/>
        </w:rPr>
        <w:br w:type="page"/>
      </w:r>
      <w:bookmarkStart w:id="50" w:name="_Toc13169"/>
      <w:bookmarkStart w:id="51" w:name="_Toc13125"/>
      <w:bookmarkStart w:id="52" w:name="_Toc17091"/>
      <w:r>
        <w:rPr>
          <w:rFonts w:hint="eastAsia" w:ascii="黑体" w:hAnsi="黑体" w:eastAsia="黑体" w:cs="黑体"/>
          <w:b w:val="0"/>
          <w:bCs w:val="0"/>
          <w:kern w:val="44"/>
          <w:sz w:val="21"/>
          <w:szCs w:val="21"/>
          <w:lang w:val="en-US" w:eastAsia="zh-CN" w:bidi="ar-SA"/>
        </w:rPr>
        <w:t>附录 A</w:t>
      </w:r>
      <w:bookmarkEnd w:id="50"/>
      <w:bookmarkEnd w:id="51"/>
      <w:bookmarkEnd w:id="52"/>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黑体" w:hAnsi="黑体" w:eastAsia="黑体" w:cs="黑体"/>
          <w:b w:val="0"/>
          <w:bCs w:val="0"/>
          <w:kern w:val="44"/>
          <w:sz w:val="21"/>
          <w:szCs w:val="21"/>
          <w:lang w:val="en-US" w:eastAsia="zh-CN" w:bidi="ar-SA"/>
        </w:rPr>
      </w:pPr>
      <w:bookmarkStart w:id="53" w:name="_Toc5050"/>
      <w:r>
        <w:rPr>
          <w:rFonts w:hint="eastAsia" w:ascii="黑体" w:hAnsi="黑体" w:eastAsia="黑体" w:cs="黑体"/>
          <w:b w:val="0"/>
          <w:bCs w:val="0"/>
          <w:kern w:val="44"/>
          <w:sz w:val="21"/>
          <w:szCs w:val="21"/>
          <w:lang w:val="en-US" w:eastAsia="zh-CN" w:bidi="ar-SA"/>
        </w:rPr>
        <w:t>绿色生态发展企业评价标准内容框架</w:t>
      </w:r>
      <w:bookmarkEnd w:id="53"/>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《××行业绿色生态发展企业评价导则》标准内容包括：</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----前言</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----范围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----规范性引用文件</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----术语和定义</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----评价要求</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a）行业分类</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对于行业中的不同类别分别制定评价指标时，宜进行行业分类。</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b) 基本要求</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c）评价指标要求</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具体格式见表A.1。</w:t>
      </w:r>
    </w:p>
    <w:p>
      <w:pPr>
        <w:tabs>
          <w:tab w:val="left" w:pos="709"/>
        </w:tabs>
        <w:autoSpaceDE w:val="0"/>
        <w:autoSpaceDN w:val="0"/>
        <w:adjustRightInd w:val="0"/>
        <w:spacing w:line="360" w:lineRule="auto"/>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表A.1××行业评价指标示例</w:t>
      </w:r>
    </w:p>
    <w:tbl>
      <w:tblPr>
        <w:tblStyle w:val="31"/>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1559"/>
        <w:gridCol w:w="1417"/>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autoSpaceDE w:val="0"/>
              <w:autoSpaceDN w:val="0"/>
              <w:adjustRightInd w:val="0"/>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指标类别</w:t>
            </w:r>
          </w:p>
        </w:tc>
        <w:tc>
          <w:tcPr>
            <w:tcW w:w="1418" w:type="dxa"/>
            <w:vAlign w:val="center"/>
          </w:tcPr>
          <w:p>
            <w:pPr>
              <w:autoSpaceDE w:val="0"/>
              <w:autoSpaceDN w:val="0"/>
              <w:adjustRightInd w:val="0"/>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一级指标</w:t>
            </w:r>
          </w:p>
        </w:tc>
        <w:tc>
          <w:tcPr>
            <w:tcW w:w="1559" w:type="dxa"/>
            <w:vAlign w:val="center"/>
          </w:tcPr>
          <w:p>
            <w:pPr>
              <w:autoSpaceDE w:val="0"/>
              <w:autoSpaceDN w:val="0"/>
              <w:adjustRightInd w:val="0"/>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二级指标</w:t>
            </w:r>
          </w:p>
        </w:tc>
        <w:tc>
          <w:tcPr>
            <w:tcW w:w="1417" w:type="dxa"/>
            <w:vAlign w:val="center"/>
          </w:tcPr>
          <w:p>
            <w:pPr>
              <w:autoSpaceDE w:val="0"/>
              <w:autoSpaceDN w:val="0"/>
              <w:adjustRightInd w:val="0"/>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评价要求</w:t>
            </w:r>
          </w:p>
        </w:tc>
        <w:tc>
          <w:tcPr>
            <w:tcW w:w="1418" w:type="dxa"/>
            <w:vAlign w:val="center"/>
          </w:tcPr>
          <w:p>
            <w:pPr>
              <w:autoSpaceDE w:val="0"/>
              <w:autoSpaceDN w:val="0"/>
              <w:adjustRightInd w:val="0"/>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评分标准</w:t>
            </w:r>
          </w:p>
        </w:tc>
        <w:tc>
          <w:tcPr>
            <w:tcW w:w="1559" w:type="dxa"/>
            <w:vAlign w:val="center"/>
          </w:tcPr>
          <w:p>
            <w:pPr>
              <w:autoSpaceDE w:val="0"/>
              <w:autoSpaceDN w:val="0"/>
              <w:adjustRightInd w:val="0"/>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84" w:type="dxa"/>
            <w:vMerge w:val="restart"/>
            <w:vAlign w:val="center"/>
          </w:tcPr>
          <w:p>
            <w:pPr>
              <w:autoSpaceDE w:val="0"/>
              <w:autoSpaceDN w:val="0"/>
              <w:adjustRightInd w:val="0"/>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规划治理</w:t>
            </w:r>
          </w:p>
        </w:tc>
        <w:tc>
          <w:tcPr>
            <w:tcW w:w="1418" w:type="dxa"/>
            <w:vMerge w:val="restart"/>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8"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84" w:type="dxa"/>
            <w:vMerge w:val="continue"/>
            <w:vAlign w:val="center"/>
          </w:tcPr>
          <w:p>
            <w:pPr>
              <w:autoSpaceDE w:val="0"/>
              <w:autoSpaceDN w:val="0"/>
              <w:adjustRightInd w:val="0"/>
              <w:spacing w:line="360" w:lineRule="auto"/>
              <w:jc w:val="center"/>
              <w:rPr>
                <w:rFonts w:hint="eastAsia" w:ascii="宋体" w:hAnsi="宋体" w:eastAsia="宋体" w:cs="宋体"/>
                <w:color w:val="000000"/>
                <w:sz w:val="18"/>
                <w:szCs w:val="18"/>
              </w:rPr>
            </w:pPr>
          </w:p>
        </w:tc>
        <w:tc>
          <w:tcPr>
            <w:tcW w:w="1418" w:type="dxa"/>
            <w:vMerge w:val="continue"/>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8"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84" w:type="dxa"/>
            <w:vMerge w:val="continue"/>
            <w:vAlign w:val="center"/>
          </w:tcPr>
          <w:p>
            <w:pPr>
              <w:autoSpaceDE w:val="0"/>
              <w:autoSpaceDN w:val="0"/>
              <w:adjustRightInd w:val="0"/>
              <w:spacing w:line="360" w:lineRule="auto"/>
              <w:jc w:val="center"/>
              <w:rPr>
                <w:rFonts w:hint="eastAsia" w:ascii="宋体" w:hAnsi="宋体" w:eastAsia="宋体" w:cs="宋体"/>
                <w:color w:val="000000"/>
                <w:sz w:val="18"/>
                <w:szCs w:val="18"/>
              </w:rPr>
            </w:pPr>
          </w:p>
        </w:tc>
        <w:tc>
          <w:tcPr>
            <w:tcW w:w="1418" w:type="dxa"/>
            <w:vMerge w:val="restart"/>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8"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84" w:type="dxa"/>
            <w:vMerge w:val="continue"/>
            <w:vAlign w:val="center"/>
          </w:tcPr>
          <w:p>
            <w:pPr>
              <w:autoSpaceDE w:val="0"/>
              <w:autoSpaceDN w:val="0"/>
              <w:adjustRightInd w:val="0"/>
              <w:spacing w:line="360" w:lineRule="auto"/>
              <w:jc w:val="center"/>
              <w:rPr>
                <w:rFonts w:hint="eastAsia" w:ascii="宋体" w:hAnsi="宋体" w:eastAsia="宋体" w:cs="宋体"/>
                <w:color w:val="000000"/>
                <w:sz w:val="18"/>
                <w:szCs w:val="18"/>
              </w:rPr>
            </w:pPr>
          </w:p>
        </w:tc>
        <w:tc>
          <w:tcPr>
            <w:tcW w:w="1418" w:type="dxa"/>
            <w:vMerge w:val="continue"/>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8"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84" w:type="dxa"/>
            <w:vMerge w:val="restart"/>
            <w:vAlign w:val="center"/>
          </w:tcPr>
          <w:p>
            <w:pPr>
              <w:autoSpaceDE w:val="0"/>
              <w:autoSpaceDN w:val="0"/>
              <w:adjustRightInd w:val="0"/>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生产经营</w:t>
            </w:r>
          </w:p>
        </w:tc>
        <w:tc>
          <w:tcPr>
            <w:tcW w:w="1418" w:type="dxa"/>
            <w:vMerge w:val="restart"/>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8"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84" w:type="dxa"/>
            <w:vMerge w:val="continue"/>
            <w:vAlign w:val="center"/>
          </w:tcPr>
          <w:p>
            <w:pPr>
              <w:autoSpaceDE w:val="0"/>
              <w:autoSpaceDN w:val="0"/>
              <w:adjustRightInd w:val="0"/>
              <w:spacing w:line="360" w:lineRule="auto"/>
              <w:jc w:val="center"/>
              <w:rPr>
                <w:rFonts w:hint="eastAsia" w:ascii="宋体" w:hAnsi="宋体" w:eastAsia="宋体" w:cs="宋体"/>
                <w:color w:val="000000"/>
                <w:sz w:val="18"/>
                <w:szCs w:val="18"/>
              </w:rPr>
            </w:pPr>
          </w:p>
        </w:tc>
        <w:tc>
          <w:tcPr>
            <w:tcW w:w="1418" w:type="dxa"/>
            <w:vMerge w:val="continue"/>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8"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84" w:type="dxa"/>
            <w:vMerge w:val="continue"/>
            <w:vAlign w:val="center"/>
          </w:tcPr>
          <w:p>
            <w:pPr>
              <w:autoSpaceDE w:val="0"/>
              <w:autoSpaceDN w:val="0"/>
              <w:adjustRightInd w:val="0"/>
              <w:spacing w:line="360" w:lineRule="auto"/>
              <w:jc w:val="center"/>
              <w:rPr>
                <w:rFonts w:hint="eastAsia" w:ascii="宋体" w:hAnsi="宋体" w:eastAsia="宋体" w:cs="宋体"/>
                <w:color w:val="000000"/>
                <w:sz w:val="18"/>
                <w:szCs w:val="18"/>
              </w:rPr>
            </w:pPr>
          </w:p>
        </w:tc>
        <w:tc>
          <w:tcPr>
            <w:tcW w:w="1418" w:type="dxa"/>
            <w:vMerge w:val="restart"/>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8"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84" w:type="dxa"/>
            <w:vMerge w:val="continue"/>
            <w:vAlign w:val="center"/>
          </w:tcPr>
          <w:p>
            <w:pPr>
              <w:autoSpaceDE w:val="0"/>
              <w:autoSpaceDN w:val="0"/>
              <w:adjustRightInd w:val="0"/>
              <w:spacing w:line="360" w:lineRule="auto"/>
              <w:jc w:val="center"/>
              <w:rPr>
                <w:rFonts w:hint="eastAsia" w:ascii="宋体" w:hAnsi="宋体" w:eastAsia="宋体" w:cs="宋体"/>
                <w:color w:val="000000"/>
                <w:sz w:val="18"/>
                <w:szCs w:val="18"/>
              </w:rPr>
            </w:pPr>
          </w:p>
        </w:tc>
        <w:tc>
          <w:tcPr>
            <w:tcW w:w="1418" w:type="dxa"/>
            <w:vMerge w:val="continue"/>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8"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84" w:type="dxa"/>
            <w:vMerge w:val="restart"/>
            <w:vAlign w:val="center"/>
          </w:tcPr>
          <w:p>
            <w:pPr>
              <w:autoSpaceDE w:val="0"/>
              <w:autoSpaceDN w:val="0"/>
              <w:adjustRightInd w:val="0"/>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组织绩效</w:t>
            </w:r>
          </w:p>
        </w:tc>
        <w:tc>
          <w:tcPr>
            <w:tcW w:w="1418" w:type="dxa"/>
            <w:vMerge w:val="restart"/>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8"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84" w:type="dxa"/>
            <w:vMerge w:val="continue"/>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8" w:type="dxa"/>
            <w:vMerge w:val="continue"/>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8"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84" w:type="dxa"/>
            <w:vMerge w:val="continue"/>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8" w:type="dxa"/>
            <w:vMerge w:val="restart"/>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8"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84" w:type="dxa"/>
            <w:vMerge w:val="continue"/>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8" w:type="dxa"/>
            <w:vMerge w:val="continue"/>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7"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418"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c>
          <w:tcPr>
            <w:tcW w:w="1559" w:type="dxa"/>
            <w:vAlign w:val="center"/>
          </w:tcPr>
          <w:p>
            <w:pPr>
              <w:autoSpaceDE w:val="0"/>
              <w:autoSpaceDN w:val="0"/>
              <w:adjustRightInd w:val="0"/>
              <w:spacing w:beforeLines="50" w:afterLines="50"/>
              <w:jc w:val="center"/>
              <w:rPr>
                <w:rFonts w:hint="eastAsia" w:ascii="宋体" w:hAnsi="宋体" w:eastAsia="宋体" w:cs="宋体"/>
                <w:color w:val="000000"/>
                <w:sz w:val="18"/>
                <w:szCs w:val="18"/>
              </w:rPr>
            </w:pPr>
          </w:p>
        </w:tc>
      </w:tr>
    </w:tbl>
    <w:p>
      <w:pPr>
        <w:spacing w:line="288" w:lineRule="auto"/>
        <w:jc w:val="center"/>
        <w:rPr>
          <w:rFonts w:hAnsi="宋体"/>
          <w:sz w:val="28"/>
          <w:szCs w:val="28"/>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黑体" w:hAnsi="黑体" w:eastAsia="黑体" w:cs="黑体"/>
          <w:b w:val="0"/>
          <w:bCs w:val="0"/>
          <w:kern w:val="44"/>
          <w:sz w:val="21"/>
          <w:szCs w:val="21"/>
        </w:rPr>
      </w:pPr>
      <w:r>
        <w:rPr>
          <w:rFonts w:hAnsi="宋体"/>
          <w:sz w:val="28"/>
          <w:szCs w:val="28"/>
        </w:rPr>
        <w:br w:type="page"/>
      </w:r>
      <w:bookmarkStart w:id="54" w:name="_Toc10889"/>
      <w:bookmarkStart w:id="55" w:name="_Toc29074"/>
      <w:r>
        <w:rPr>
          <w:rFonts w:hint="eastAsia" w:ascii="黑体" w:hAnsi="黑体" w:eastAsia="黑体" w:cs="黑体"/>
          <w:b w:val="0"/>
          <w:bCs w:val="0"/>
          <w:kern w:val="44"/>
          <w:sz w:val="21"/>
          <w:szCs w:val="21"/>
        </w:rPr>
        <w:t>附录 B</w:t>
      </w:r>
      <w:bookmarkEnd w:id="54"/>
      <w:bookmarkEnd w:id="55"/>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b/>
          <w:bCs w:val="0"/>
          <w:color w:val="000000" w:themeColor="text1"/>
          <w:kern w:val="44"/>
          <w:sz w:val="30"/>
          <w:szCs w:val="30"/>
          <w14:textFill>
            <w14:solidFill>
              <w14:schemeClr w14:val="tx1"/>
            </w14:solidFill>
          </w14:textFill>
        </w:rPr>
      </w:pPr>
      <w:r>
        <w:rPr>
          <w:rFonts w:hint="eastAsia" w:ascii="黑体" w:hAnsi="黑体" w:eastAsia="黑体" w:cs="黑体"/>
          <w:b w:val="0"/>
          <w:bCs w:val="0"/>
          <w:color w:val="000000" w:themeColor="text1"/>
          <w:kern w:val="0"/>
          <w:sz w:val="21"/>
          <w:szCs w:val="21"/>
          <w14:textFill>
            <w14:solidFill>
              <w14:schemeClr w14:val="tx1"/>
            </w14:solidFill>
          </w14:textFill>
        </w:rPr>
        <w:t>绿色生态发展划分标准及释义</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905"/>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评价得分</w:t>
            </w:r>
          </w:p>
        </w:tc>
        <w:tc>
          <w:tcPr>
            <w:tcW w:w="1905"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评价等级</w:t>
            </w:r>
          </w:p>
        </w:tc>
        <w:tc>
          <w:tcPr>
            <w:tcW w:w="4747" w:type="dxa"/>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90分以上</w:t>
            </w:r>
          </w:p>
        </w:tc>
        <w:tc>
          <w:tcPr>
            <w:tcW w:w="1905" w:type="dxa"/>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AAAAA</w:t>
            </w:r>
          </w:p>
        </w:tc>
        <w:tc>
          <w:tcPr>
            <w:tcW w:w="4747" w:type="dxa"/>
            <w:vAlign w:val="center"/>
          </w:tcPr>
          <w:p>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绿色生态发展规划主动、科学、合理，绿色治理组织架构合理、管理科学到位，绿色生态理念在企业文化全渗透，节能环保等绿色绩效持续改善，同行业中领跑。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75～90分</w:t>
            </w:r>
          </w:p>
        </w:tc>
        <w:tc>
          <w:tcPr>
            <w:tcW w:w="1905" w:type="dxa"/>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AAAA</w:t>
            </w:r>
          </w:p>
        </w:tc>
        <w:tc>
          <w:tcPr>
            <w:tcW w:w="4747" w:type="dxa"/>
            <w:vAlign w:val="center"/>
          </w:tcPr>
          <w:p>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绿色生态发展规划较科学合理，绿色治理组织架构较合理、管理较科学到位，绿色生态理念在企业文化部分渗透，节能环保等绿色绩效有改善，同行业中处于先进水平。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60～75分</w:t>
            </w:r>
          </w:p>
        </w:tc>
        <w:tc>
          <w:tcPr>
            <w:tcW w:w="1905" w:type="dxa"/>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AAA</w:t>
            </w:r>
          </w:p>
        </w:tc>
        <w:tc>
          <w:tcPr>
            <w:tcW w:w="4747" w:type="dxa"/>
            <w:vAlign w:val="center"/>
          </w:tcPr>
          <w:p>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绿色生态发展规划初步形成，绿色治理组织架构初步搭建，管理体系初步成型，绿色生态理念在企业文化刚起步，节能环保等绿色绩效具有一定成果，同行业中处于较好水平。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70分以下</w:t>
            </w:r>
          </w:p>
        </w:tc>
        <w:tc>
          <w:tcPr>
            <w:tcW w:w="1905" w:type="dxa"/>
            <w:vAlign w:val="center"/>
          </w:tcPr>
          <w:p>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不接受评级</w:t>
            </w:r>
          </w:p>
        </w:tc>
        <w:tc>
          <w:tcPr>
            <w:tcW w:w="4747" w:type="dxa"/>
            <w:vAlign w:val="center"/>
          </w:tcPr>
          <w:p>
            <w:pPr>
              <w:spacing w:line="360" w:lineRule="auto"/>
              <w:ind w:firstLine="360" w:firstLineChars="200"/>
              <w:rPr>
                <w:rFonts w:hint="eastAsia" w:ascii="宋体" w:hAnsi="宋体" w:eastAsia="宋体" w:cs="宋体"/>
                <w:sz w:val="18"/>
                <w:szCs w:val="18"/>
              </w:rPr>
            </w:pPr>
          </w:p>
        </w:tc>
      </w:tr>
    </w:tbl>
    <w:p>
      <w:pPr>
        <w:autoSpaceDE w:val="0"/>
        <w:autoSpaceDN w:val="0"/>
        <w:adjustRightInd w:val="0"/>
        <w:jc w:val="left"/>
        <w:outlineLvl w:val="0"/>
        <w:rPr>
          <w:rFonts w:hint="eastAsia" w:ascii="宋体" w:hAnsi="宋体" w:eastAsia="宋体" w:cs="宋体"/>
          <w:kern w:val="0"/>
          <w:sz w:val="18"/>
          <w:szCs w:val="18"/>
        </w:rPr>
      </w:pPr>
    </w:p>
    <w:p>
      <w:pPr>
        <w:spacing w:line="288" w:lineRule="auto"/>
        <w:jc w:val="center"/>
        <w:rPr>
          <w:rFonts w:hAnsi="宋体"/>
          <w:sz w:val="28"/>
          <w:szCs w:val="28"/>
        </w:rPr>
      </w:pPr>
    </w:p>
    <w:p/>
    <w:sectPr>
      <w:headerReference r:id="rId11" w:type="default"/>
      <w:footerReference r:id="rId13" w:type="default"/>
      <w:headerReference r:id="rId12" w:type="even"/>
      <w:footerReference r:id="rId14" w:type="even"/>
      <w:pgSz w:w="11906" w:h="16838"/>
      <w:pgMar w:top="567" w:right="1134" w:bottom="1134" w:left="1417" w:header="1417" w:footer="113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jc w:val="left"/>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left="0" w:leftChars="0" w:firstLine="0" w:firstLineChars="0"/>
      <w:jc w:val="left"/>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pBdr>
        <w:bottom w:val="none" w:color="auto" w:sz="0" w:space="0"/>
      </w:pBdr>
    </w:pPr>
    <w:r>
      <w:t>T/IPIF 0004—2021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right"/>
      <w:rPr>
        <w:rFonts w:hint="eastAsia" w:hAnsi="黑体"/>
        <w:lang w:val="en-US" w:eastAsia="zh-CN"/>
      </w:rPr>
    </w:pPr>
  </w:p>
  <w:p>
    <w:pPr>
      <w:pStyle w:val="18"/>
      <w:pBdr>
        <w:bottom w:val="none" w:color="auto" w:sz="0" w:space="0"/>
      </w:pBdr>
      <w:jc w:val="right"/>
      <w:rPr>
        <w:rFonts w:hint="default" w:ascii="黑体" w:hAnsi="黑体" w:eastAsia="黑体" w:cs="黑体"/>
        <w:sz w:val="21"/>
        <w:szCs w:val="21"/>
        <w:lang w:val="en-US" w:eastAsia="zh-CN"/>
      </w:rPr>
    </w:pPr>
    <w:r>
      <w:rPr>
        <w:rFonts w:hint="eastAsia" w:ascii="黑体" w:hAnsi="黑体" w:eastAsia="黑体" w:cs="黑体"/>
        <w:sz w:val="21"/>
        <w:szCs w:val="21"/>
      </w:rPr>
      <w:t xml:space="preserve">T/IPIF </w:t>
    </w:r>
    <w:r>
      <w:rPr>
        <w:rFonts w:hint="eastAsia" w:ascii="黑体" w:hAnsi="黑体" w:eastAsia="黑体" w:cs="黑体"/>
        <w:sz w:val="21"/>
        <w:szCs w:val="21"/>
        <w:lang w:val="en-US" w:eastAsia="zh-CN"/>
      </w:rPr>
      <w:t>XXXX</w:t>
    </w:r>
    <w:r>
      <w:rPr>
        <w:rFonts w:hint="eastAsia" w:ascii="黑体" w:hAnsi="黑体" w:eastAsia="黑体" w:cs="黑体"/>
        <w:sz w:val="21"/>
        <w:szCs w:val="21"/>
      </w:rPr>
      <w:t>—</w:t>
    </w:r>
    <w:r>
      <w:rPr>
        <w:rFonts w:hint="eastAsia" w:ascii="黑体" w:hAnsi="黑体" w:eastAsia="黑体" w:cs="黑体"/>
        <w:sz w:val="21"/>
        <w:szCs w:val="21"/>
        <w:lang w:val="en-US" w:eastAsia="zh-CN"/>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pBdr>
        <w:bottom w:val="none" w:color="auto" w:sz="0" w:space="0"/>
      </w:pBdr>
      <w:jc w:val="left"/>
      <w:rPr>
        <w:rFonts w:hint="default" w:eastAsia="黑体"/>
        <w:lang w:val="en-US" w:eastAsia="zh-CN"/>
      </w:rPr>
    </w:pPr>
    <w:r>
      <w:t xml:space="preserve">T/IPIF </w:t>
    </w:r>
    <w:r>
      <w:rPr>
        <w:rFonts w:hint="eastAsia"/>
        <w:lang w:val="en-US" w:eastAsia="zh-CN"/>
      </w:rPr>
      <w:t>XXXX</w:t>
    </w:r>
    <w:r>
      <w:t>—</w:t>
    </w:r>
    <w:r>
      <w:rPr>
        <w:rFonts w:hint="eastAsia"/>
        <w:lang w:val="en-US" w:eastAsia="zh-CN"/>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right"/>
      <w:rPr>
        <w:rFonts w:hint="eastAsia" w:hAnsi="黑体"/>
        <w:lang w:val="en-US" w:eastAsia="zh-CN"/>
      </w:rPr>
    </w:pPr>
  </w:p>
  <w:p>
    <w:pPr>
      <w:pStyle w:val="18"/>
      <w:pBdr>
        <w:bottom w:val="none" w:color="auto" w:sz="0" w:space="0"/>
      </w:pBdr>
      <w:jc w:val="right"/>
      <w:rPr>
        <w:rFonts w:hint="default" w:ascii="黑体" w:hAnsi="黑体" w:eastAsia="黑体" w:cs="黑体"/>
        <w:sz w:val="21"/>
        <w:szCs w:val="21"/>
        <w:lang w:val="en-US" w:eastAsia="zh-CN"/>
      </w:rPr>
    </w:pPr>
    <w:r>
      <w:rPr>
        <w:rFonts w:hint="eastAsia" w:ascii="黑体" w:hAnsi="黑体" w:eastAsia="黑体" w:cs="黑体"/>
        <w:sz w:val="21"/>
        <w:szCs w:val="21"/>
      </w:rPr>
      <w:t xml:space="preserve">T/IPIF </w:t>
    </w:r>
    <w:r>
      <w:rPr>
        <w:rFonts w:hint="eastAsia" w:ascii="黑体" w:hAnsi="黑体" w:eastAsia="黑体" w:cs="黑体"/>
        <w:sz w:val="21"/>
        <w:szCs w:val="21"/>
        <w:lang w:val="en-US" w:eastAsia="zh-CN"/>
      </w:rPr>
      <w:t>XXXX</w:t>
    </w:r>
    <w:r>
      <w:rPr>
        <w:rFonts w:hint="eastAsia" w:ascii="黑体" w:hAnsi="黑体" w:eastAsia="黑体" w:cs="黑体"/>
        <w:sz w:val="21"/>
        <w:szCs w:val="21"/>
      </w:rPr>
      <w:t>—</w:t>
    </w:r>
    <w:r>
      <w:rPr>
        <w:rFonts w:hint="eastAsia" w:ascii="黑体" w:hAnsi="黑体" w:eastAsia="黑体" w:cs="黑体"/>
        <w:sz w:val="21"/>
        <w:szCs w:val="21"/>
        <w:lang w:val="en-US" w:eastAsia="zh-CN"/>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pBdr>
        <w:bottom w:val="none" w:color="auto" w:sz="0" w:space="0"/>
      </w:pBdr>
      <w:jc w:val="left"/>
      <w:rPr>
        <w:rFonts w:hint="default" w:eastAsia="黑体"/>
        <w:lang w:val="en-US" w:eastAsia="zh-CN"/>
      </w:rPr>
    </w:pPr>
    <w:r>
      <w:t xml:space="preserve">T/IPIF </w:t>
    </w:r>
    <w:r>
      <w:rPr>
        <w:rFonts w:hint="eastAsia"/>
        <w:lang w:val="en-US" w:eastAsia="zh-CN"/>
      </w:rPr>
      <w:t>XXXX</w:t>
    </w:r>
    <w:r>
      <w:t>—</w:t>
    </w:r>
    <w:r>
      <w:rPr>
        <w:rFonts w:hint="eastAsia"/>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0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7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8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6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45"/>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9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89"/>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85"/>
      <w:suff w:val="nothing"/>
      <w:lvlText w:val="%1——"/>
      <w:lvlJc w:val="left"/>
      <w:pPr>
        <w:ind w:left="833" w:hanging="408"/>
      </w:pPr>
      <w:rPr>
        <w:rFonts w:hint="eastAsia"/>
      </w:rPr>
    </w:lvl>
    <w:lvl w:ilvl="1" w:tentative="0">
      <w:start w:val="1"/>
      <w:numFmt w:val="bullet"/>
      <w:pStyle w:val="106"/>
      <w:lvlText w:val=""/>
      <w:lvlJc w:val="left"/>
      <w:pPr>
        <w:tabs>
          <w:tab w:val="left" w:pos="760"/>
        </w:tabs>
        <w:ind w:left="1264" w:hanging="413"/>
      </w:pPr>
      <w:rPr>
        <w:rFonts w:hint="default" w:ascii="Symbol" w:hAnsi="Symbol"/>
        <w:color w:val="auto"/>
      </w:rPr>
    </w:lvl>
    <w:lvl w:ilvl="2" w:tentative="0">
      <w:start w:val="1"/>
      <w:numFmt w:val="bullet"/>
      <w:pStyle w:val="10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9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81"/>
      <w:lvlText w:val="%1"/>
      <w:lvlJc w:val="left"/>
      <w:pPr>
        <w:tabs>
          <w:tab w:val="left" w:pos="0"/>
        </w:tabs>
        <w:ind w:left="0" w:hanging="425"/>
      </w:pPr>
      <w:rPr>
        <w:rFonts w:hint="eastAsia"/>
      </w:rPr>
    </w:lvl>
    <w:lvl w:ilvl="1" w:tentative="0">
      <w:start w:val="1"/>
      <w:numFmt w:val="decimal"/>
      <w:pStyle w:val="10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9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3"/>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pStyle w:val="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4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17"/>
  </w:num>
  <w:num w:numId="4">
    <w:abstractNumId w:val="15"/>
  </w:num>
  <w:num w:numId="5">
    <w:abstractNumId w:val="12"/>
  </w:num>
  <w:num w:numId="6">
    <w:abstractNumId w:val="2"/>
  </w:num>
  <w:num w:numId="7">
    <w:abstractNumId w:val="13"/>
  </w:num>
  <w:num w:numId="8">
    <w:abstractNumId w:val="5"/>
  </w:num>
  <w:num w:numId="9">
    <w:abstractNumId w:val="11"/>
  </w:num>
  <w:num w:numId="10">
    <w:abstractNumId w:val="9"/>
  </w:num>
  <w:num w:numId="11">
    <w:abstractNumId w:val="8"/>
  </w:num>
  <w:num w:numId="12">
    <w:abstractNumId w:val="16"/>
  </w:num>
  <w:num w:numId="13">
    <w:abstractNumId w:val="7"/>
  </w:num>
  <w:num w:numId="14">
    <w:abstractNumId w:val="0"/>
  </w:num>
  <w:num w:numId="15">
    <w:abstractNumId w:val="1"/>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5A65"/>
    <w:rsid w:val="00026C31"/>
    <w:rsid w:val="00027280"/>
    <w:rsid w:val="000320A7"/>
    <w:rsid w:val="0003547E"/>
    <w:rsid w:val="00035925"/>
    <w:rsid w:val="00067CDF"/>
    <w:rsid w:val="00074FBE"/>
    <w:rsid w:val="00083A09"/>
    <w:rsid w:val="0009005E"/>
    <w:rsid w:val="00092857"/>
    <w:rsid w:val="000A20A9"/>
    <w:rsid w:val="000A48B1"/>
    <w:rsid w:val="000B3143"/>
    <w:rsid w:val="000C6B05"/>
    <w:rsid w:val="000C6DD6"/>
    <w:rsid w:val="000C73D4"/>
    <w:rsid w:val="000D2CF3"/>
    <w:rsid w:val="000D3D4C"/>
    <w:rsid w:val="000D4F51"/>
    <w:rsid w:val="000D718B"/>
    <w:rsid w:val="000E0C46"/>
    <w:rsid w:val="000F030C"/>
    <w:rsid w:val="000F129C"/>
    <w:rsid w:val="000F397C"/>
    <w:rsid w:val="001056DE"/>
    <w:rsid w:val="001124C0"/>
    <w:rsid w:val="0013175F"/>
    <w:rsid w:val="00134AA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A7456"/>
    <w:rsid w:val="001B0B26"/>
    <w:rsid w:val="001B6DC2"/>
    <w:rsid w:val="001C149C"/>
    <w:rsid w:val="001C21AC"/>
    <w:rsid w:val="001C47BA"/>
    <w:rsid w:val="001C59EA"/>
    <w:rsid w:val="001D406C"/>
    <w:rsid w:val="001D41EE"/>
    <w:rsid w:val="001E0380"/>
    <w:rsid w:val="001E13B1"/>
    <w:rsid w:val="001E1EAB"/>
    <w:rsid w:val="001E5FD3"/>
    <w:rsid w:val="001F3A19"/>
    <w:rsid w:val="00234467"/>
    <w:rsid w:val="00237D8D"/>
    <w:rsid w:val="00241DA2"/>
    <w:rsid w:val="00247FEE"/>
    <w:rsid w:val="00250E7D"/>
    <w:rsid w:val="002565D5"/>
    <w:rsid w:val="002622C0"/>
    <w:rsid w:val="0026243A"/>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363B"/>
    <w:rsid w:val="002E5635"/>
    <w:rsid w:val="002E64C3"/>
    <w:rsid w:val="002E6A2C"/>
    <w:rsid w:val="002F1D8C"/>
    <w:rsid w:val="002F21DA"/>
    <w:rsid w:val="00301F39"/>
    <w:rsid w:val="00310906"/>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B1984"/>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4E455F"/>
    <w:rsid w:val="00510280"/>
    <w:rsid w:val="00513D73"/>
    <w:rsid w:val="00514A43"/>
    <w:rsid w:val="005174E5"/>
    <w:rsid w:val="00522393"/>
    <w:rsid w:val="00522620"/>
    <w:rsid w:val="00525656"/>
    <w:rsid w:val="00534C02"/>
    <w:rsid w:val="0054264B"/>
    <w:rsid w:val="00543786"/>
    <w:rsid w:val="005533D7"/>
    <w:rsid w:val="005703DE"/>
    <w:rsid w:val="0058464E"/>
    <w:rsid w:val="00593B48"/>
    <w:rsid w:val="005A01CB"/>
    <w:rsid w:val="005A4514"/>
    <w:rsid w:val="005A58FF"/>
    <w:rsid w:val="005A5EAF"/>
    <w:rsid w:val="005A64C0"/>
    <w:rsid w:val="005B0783"/>
    <w:rsid w:val="005B3C11"/>
    <w:rsid w:val="005B5113"/>
    <w:rsid w:val="005B6AFE"/>
    <w:rsid w:val="005C1C28"/>
    <w:rsid w:val="005C6DB5"/>
    <w:rsid w:val="005D5F0F"/>
    <w:rsid w:val="005E19E7"/>
    <w:rsid w:val="005E70C0"/>
    <w:rsid w:val="005F0D35"/>
    <w:rsid w:val="00615921"/>
    <w:rsid w:val="0061716C"/>
    <w:rsid w:val="006243A1"/>
    <w:rsid w:val="00625176"/>
    <w:rsid w:val="00632E56"/>
    <w:rsid w:val="00635CBA"/>
    <w:rsid w:val="006412EE"/>
    <w:rsid w:val="0064338B"/>
    <w:rsid w:val="00646542"/>
    <w:rsid w:val="006504F4"/>
    <w:rsid w:val="00654BC9"/>
    <w:rsid w:val="006552FD"/>
    <w:rsid w:val="00660850"/>
    <w:rsid w:val="00663AF3"/>
    <w:rsid w:val="00666B6C"/>
    <w:rsid w:val="00682682"/>
    <w:rsid w:val="00682702"/>
    <w:rsid w:val="00682CAE"/>
    <w:rsid w:val="00692368"/>
    <w:rsid w:val="006A2EBC"/>
    <w:rsid w:val="006A5EA0"/>
    <w:rsid w:val="006A783B"/>
    <w:rsid w:val="006A7B33"/>
    <w:rsid w:val="006B4E13"/>
    <w:rsid w:val="006B75DD"/>
    <w:rsid w:val="006C67E0"/>
    <w:rsid w:val="006C7ABA"/>
    <w:rsid w:val="006D0D60"/>
    <w:rsid w:val="006D1122"/>
    <w:rsid w:val="006D3C00"/>
    <w:rsid w:val="006D6CF4"/>
    <w:rsid w:val="006E3675"/>
    <w:rsid w:val="006E4A7F"/>
    <w:rsid w:val="00702AB8"/>
    <w:rsid w:val="00704DF6"/>
    <w:rsid w:val="0070651C"/>
    <w:rsid w:val="007132A3"/>
    <w:rsid w:val="00716421"/>
    <w:rsid w:val="00724EFB"/>
    <w:rsid w:val="00731BA7"/>
    <w:rsid w:val="007419C3"/>
    <w:rsid w:val="00744F22"/>
    <w:rsid w:val="007467A7"/>
    <w:rsid w:val="007469DD"/>
    <w:rsid w:val="0074741B"/>
    <w:rsid w:val="0074759E"/>
    <w:rsid w:val="007478EA"/>
    <w:rsid w:val="0075415B"/>
    <w:rsid w:val="0075415C"/>
    <w:rsid w:val="00763502"/>
    <w:rsid w:val="007913AB"/>
    <w:rsid w:val="007914F7"/>
    <w:rsid w:val="007A605F"/>
    <w:rsid w:val="007B1625"/>
    <w:rsid w:val="007B706E"/>
    <w:rsid w:val="007B71EB"/>
    <w:rsid w:val="007C6205"/>
    <w:rsid w:val="007C686A"/>
    <w:rsid w:val="007C728E"/>
    <w:rsid w:val="007C752D"/>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12E7"/>
    <w:rsid w:val="00892E82"/>
    <w:rsid w:val="0089368E"/>
    <w:rsid w:val="008C1B58"/>
    <w:rsid w:val="008C39AE"/>
    <w:rsid w:val="008C590D"/>
    <w:rsid w:val="008D72F9"/>
    <w:rsid w:val="008E031B"/>
    <w:rsid w:val="008E7029"/>
    <w:rsid w:val="008E7EF6"/>
    <w:rsid w:val="008F1F98"/>
    <w:rsid w:val="008F6758"/>
    <w:rsid w:val="009040DD"/>
    <w:rsid w:val="00905B47"/>
    <w:rsid w:val="00912340"/>
    <w:rsid w:val="0091331C"/>
    <w:rsid w:val="009279DE"/>
    <w:rsid w:val="00930116"/>
    <w:rsid w:val="00930F99"/>
    <w:rsid w:val="00937AAE"/>
    <w:rsid w:val="0094212C"/>
    <w:rsid w:val="009445CA"/>
    <w:rsid w:val="00951EE6"/>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A7710"/>
    <w:rsid w:val="009B2ADB"/>
    <w:rsid w:val="009B603A"/>
    <w:rsid w:val="009C2D0E"/>
    <w:rsid w:val="009C3DAC"/>
    <w:rsid w:val="009C42E0"/>
    <w:rsid w:val="009D5362"/>
    <w:rsid w:val="009E1415"/>
    <w:rsid w:val="009E6116"/>
    <w:rsid w:val="00A02E43"/>
    <w:rsid w:val="00A065F9"/>
    <w:rsid w:val="00A07F34"/>
    <w:rsid w:val="00A22154"/>
    <w:rsid w:val="00A25C38"/>
    <w:rsid w:val="00A26782"/>
    <w:rsid w:val="00A36BBE"/>
    <w:rsid w:val="00A4307A"/>
    <w:rsid w:val="00A47EBB"/>
    <w:rsid w:val="00A51CDD"/>
    <w:rsid w:val="00A6730D"/>
    <w:rsid w:val="00A71625"/>
    <w:rsid w:val="00A71B9B"/>
    <w:rsid w:val="00A7474A"/>
    <w:rsid w:val="00A751C7"/>
    <w:rsid w:val="00A87844"/>
    <w:rsid w:val="00A92F74"/>
    <w:rsid w:val="00A9625F"/>
    <w:rsid w:val="00AA038C"/>
    <w:rsid w:val="00AA7A09"/>
    <w:rsid w:val="00AB2DB2"/>
    <w:rsid w:val="00AB3B50"/>
    <w:rsid w:val="00AC0007"/>
    <w:rsid w:val="00AC05B1"/>
    <w:rsid w:val="00AD356C"/>
    <w:rsid w:val="00AE2914"/>
    <w:rsid w:val="00AE6D15"/>
    <w:rsid w:val="00B04182"/>
    <w:rsid w:val="00B07AE3"/>
    <w:rsid w:val="00B11430"/>
    <w:rsid w:val="00B32A19"/>
    <w:rsid w:val="00B353EB"/>
    <w:rsid w:val="00B439C4"/>
    <w:rsid w:val="00B43C04"/>
    <w:rsid w:val="00B4535E"/>
    <w:rsid w:val="00B52A8C"/>
    <w:rsid w:val="00B636A8"/>
    <w:rsid w:val="00B665C6"/>
    <w:rsid w:val="00B805AF"/>
    <w:rsid w:val="00B869EC"/>
    <w:rsid w:val="00B9397A"/>
    <w:rsid w:val="00B9633D"/>
    <w:rsid w:val="00BA0B75"/>
    <w:rsid w:val="00BA2EBE"/>
    <w:rsid w:val="00BB0F28"/>
    <w:rsid w:val="00BB458A"/>
    <w:rsid w:val="00BD00D3"/>
    <w:rsid w:val="00BD1659"/>
    <w:rsid w:val="00BD3AA9"/>
    <w:rsid w:val="00BD4A18"/>
    <w:rsid w:val="00BD6DB2"/>
    <w:rsid w:val="00BE11CF"/>
    <w:rsid w:val="00BE21AB"/>
    <w:rsid w:val="00BE55CB"/>
    <w:rsid w:val="00BF617A"/>
    <w:rsid w:val="00BF6FCE"/>
    <w:rsid w:val="00C0379D"/>
    <w:rsid w:val="00C03931"/>
    <w:rsid w:val="00C05FE3"/>
    <w:rsid w:val="00C2136D"/>
    <w:rsid w:val="00C214EE"/>
    <w:rsid w:val="00C2314B"/>
    <w:rsid w:val="00C24971"/>
    <w:rsid w:val="00C26BE5"/>
    <w:rsid w:val="00C26E4D"/>
    <w:rsid w:val="00C27909"/>
    <w:rsid w:val="00C27B03"/>
    <w:rsid w:val="00C314E1"/>
    <w:rsid w:val="00C34397"/>
    <w:rsid w:val="00C3788B"/>
    <w:rsid w:val="00C4095D"/>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1687F"/>
    <w:rsid w:val="00D303EF"/>
    <w:rsid w:val="00D429C6"/>
    <w:rsid w:val="00D47748"/>
    <w:rsid w:val="00D54944"/>
    <w:rsid w:val="00D54CC3"/>
    <w:rsid w:val="00D6041A"/>
    <w:rsid w:val="00D633EB"/>
    <w:rsid w:val="00D82FF7"/>
    <w:rsid w:val="00D847FE"/>
    <w:rsid w:val="00D964EA"/>
    <w:rsid w:val="00D966D0"/>
    <w:rsid w:val="00DA0C59"/>
    <w:rsid w:val="00DA3991"/>
    <w:rsid w:val="00DA4137"/>
    <w:rsid w:val="00DA5589"/>
    <w:rsid w:val="00DB0990"/>
    <w:rsid w:val="00DB7E6C"/>
    <w:rsid w:val="00DD5A29"/>
    <w:rsid w:val="00DD5D9D"/>
    <w:rsid w:val="00DE35CB"/>
    <w:rsid w:val="00DE3946"/>
    <w:rsid w:val="00DF21E9"/>
    <w:rsid w:val="00DF532A"/>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137F"/>
    <w:rsid w:val="00EA72EC"/>
    <w:rsid w:val="00EB0BE7"/>
    <w:rsid w:val="00EB11CB"/>
    <w:rsid w:val="00EB275A"/>
    <w:rsid w:val="00EB786A"/>
    <w:rsid w:val="00EC1578"/>
    <w:rsid w:val="00EC1C72"/>
    <w:rsid w:val="00EC3CC9"/>
    <w:rsid w:val="00EC680A"/>
    <w:rsid w:val="00ED0EBC"/>
    <w:rsid w:val="00EE2BED"/>
    <w:rsid w:val="00EE374B"/>
    <w:rsid w:val="00F11BB5"/>
    <w:rsid w:val="00F1417B"/>
    <w:rsid w:val="00F34B99"/>
    <w:rsid w:val="00F52DAB"/>
    <w:rsid w:val="00F543F0"/>
    <w:rsid w:val="00F81D29"/>
    <w:rsid w:val="00F8482D"/>
    <w:rsid w:val="00F91C4D"/>
    <w:rsid w:val="00F92FD9"/>
    <w:rsid w:val="00FA6684"/>
    <w:rsid w:val="00FA731E"/>
    <w:rsid w:val="00FB2B38"/>
    <w:rsid w:val="00FC5E5F"/>
    <w:rsid w:val="00FC6358"/>
    <w:rsid w:val="00FD01CF"/>
    <w:rsid w:val="00FD320D"/>
    <w:rsid w:val="00FE23DE"/>
    <w:rsid w:val="01071803"/>
    <w:rsid w:val="01370D1F"/>
    <w:rsid w:val="037F69A6"/>
    <w:rsid w:val="063C4E4F"/>
    <w:rsid w:val="097D6CD3"/>
    <w:rsid w:val="09826CD0"/>
    <w:rsid w:val="09C65D7A"/>
    <w:rsid w:val="0BC72A65"/>
    <w:rsid w:val="0C1C676D"/>
    <w:rsid w:val="0C59616C"/>
    <w:rsid w:val="0C5F5377"/>
    <w:rsid w:val="0C7050BF"/>
    <w:rsid w:val="0E385DA6"/>
    <w:rsid w:val="0FEE6000"/>
    <w:rsid w:val="14DB147C"/>
    <w:rsid w:val="19593CBD"/>
    <w:rsid w:val="195956B1"/>
    <w:rsid w:val="19B87536"/>
    <w:rsid w:val="1A0B38A5"/>
    <w:rsid w:val="1E15184B"/>
    <w:rsid w:val="1E961761"/>
    <w:rsid w:val="200E29C5"/>
    <w:rsid w:val="20DF3FD6"/>
    <w:rsid w:val="220D5F68"/>
    <w:rsid w:val="25A4633B"/>
    <w:rsid w:val="266A5571"/>
    <w:rsid w:val="26E81AA3"/>
    <w:rsid w:val="27603148"/>
    <w:rsid w:val="27F30A3A"/>
    <w:rsid w:val="282B1403"/>
    <w:rsid w:val="28A34F3F"/>
    <w:rsid w:val="2B3247BF"/>
    <w:rsid w:val="2E3C7382"/>
    <w:rsid w:val="304A3A01"/>
    <w:rsid w:val="31166FE1"/>
    <w:rsid w:val="32341BDD"/>
    <w:rsid w:val="335E4C2D"/>
    <w:rsid w:val="34126E7E"/>
    <w:rsid w:val="342C25CF"/>
    <w:rsid w:val="36B8779C"/>
    <w:rsid w:val="385D5F61"/>
    <w:rsid w:val="38666581"/>
    <w:rsid w:val="38D472D2"/>
    <w:rsid w:val="398F099B"/>
    <w:rsid w:val="3A2F2BFF"/>
    <w:rsid w:val="3BFA4E8E"/>
    <w:rsid w:val="3CA12E80"/>
    <w:rsid w:val="3D540A57"/>
    <w:rsid w:val="3F821BEF"/>
    <w:rsid w:val="405E4B39"/>
    <w:rsid w:val="40AF2BC8"/>
    <w:rsid w:val="41855C65"/>
    <w:rsid w:val="427C2851"/>
    <w:rsid w:val="43A33E18"/>
    <w:rsid w:val="44664671"/>
    <w:rsid w:val="450D7822"/>
    <w:rsid w:val="45385D50"/>
    <w:rsid w:val="46037E42"/>
    <w:rsid w:val="47C43B64"/>
    <w:rsid w:val="4D676EE7"/>
    <w:rsid w:val="4D9F7E48"/>
    <w:rsid w:val="4DEE118E"/>
    <w:rsid w:val="4E9C227F"/>
    <w:rsid w:val="4EA60357"/>
    <w:rsid w:val="4EDC3E94"/>
    <w:rsid w:val="4F9C7B5C"/>
    <w:rsid w:val="51C03729"/>
    <w:rsid w:val="530B3A38"/>
    <w:rsid w:val="565A31B2"/>
    <w:rsid w:val="57B23537"/>
    <w:rsid w:val="57BB5062"/>
    <w:rsid w:val="59746D98"/>
    <w:rsid w:val="59A63B74"/>
    <w:rsid w:val="5C1B3E92"/>
    <w:rsid w:val="5D1804C0"/>
    <w:rsid w:val="5DA037AA"/>
    <w:rsid w:val="5F966B3C"/>
    <w:rsid w:val="5FE7435C"/>
    <w:rsid w:val="60A55672"/>
    <w:rsid w:val="6112132C"/>
    <w:rsid w:val="64AC46D1"/>
    <w:rsid w:val="64DE72AC"/>
    <w:rsid w:val="651A4F5F"/>
    <w:rsid w:val="6794236E"/>
    <w:rsid w:val="68BD7429"/>
    <w:rsid w:val="6A4C4D4B"/>
    <w:rsid w:val="6B2C3DA8"/>
    <w:rsid w:val="6BA65C4E"/>
    <w:rsid w:val="6BFE4F9F"/>
    <w:rsid w:val="6EAF1AAC"/>
    <w:rsid w:val="703E4CFE"/>
    <w:rsid w:val="75F83CFA"/>
    <w:rsid w:val="76FF09EB"/>
    <w:rsid w:val="777E1647"/>
    <w:rsid w:val="78431C1B"/>
    <w:rsid w:val="786F030C"/>
    <w:rsid w:val="792173BE"/>
    <w:rsid w:val="79FF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0">
    <w:name w:val="toc 4"/>
    <w:basedOn w:val="1"/>
    <w:next w:val="1"/>
    <w:qFormat/>
    <w:uiPriority w:val="39"/>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1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rFonts w:ascii="Times New Roman" w:hAnsi="Times New Roman" w:eastAsia="宋体" w:cs="Times New Roman"/>
      <w:vertAlign w:val="superscript"/>
    </w:rPr>
  </w:style>
  <w:style w:type="character" w:styleId="35">
    <w:name w:val="page number"/>
    <w:basedOn w:val="33"/>
    <w:qFormat/>
    <w:uiPriority w:val="0"/>
    <w:rPr>
      <w:rFonts w:ascii="Times New Roman" w:hAnsi="Times New Roman" w:eastAsia="宋体" w:cs="Times New Roman"/>
      <w:sz w:val="18"/>
    </w:rPr>
  </w:style>
  <w:style w:type="character" w:styleId="36">
    <w:name w:val="FollowedHyperlink"/>
    <w:qFormat/>
    <w:uiPriority w:val="0"/>
    <w:rPr>
      <w:rFonts w:ascii="Times New Roman" w:hAnsi="Times New Roman" w:eastAsia="宋体" w:cs="Times New Roman"/>
      <w:color w:val="800080"/>
      <w:u w:val="single"/>
    </w:rPr>
  </w:style>
  <w:style w:type="character" w:styleId="37">
    <w:name w:val="Hyperlink"/>
    <w:qFormat/>
    <w:uiPriority w:val="99"/>
    <w:rPr>
      <w:rFonts w:ascii="Times New Roman" w:hAnsi="Times New Roman" w:eastAsia="宋体" w:cs="Times New Roman"/>
      <w:color w:val="0000FF"/>
      <w:spacing w:val="0"/>
      <w:w w:val="100"/>
      <w:szCs w:val="21"/>
      <w:u w:val="single"/>
    </w:rPr>
  </w:style>
  <w:style w:type="character" w:styleId="38">
    <w:name w:val="footnote reference"/>
    <w:semiHidden/>
    <w:qFormat/>
    <w:uiPriority w:val="0"/>
    <w:rPr>
      <w:rFonts w:ascii="Times New Roman" w:hAnsi="Times New Roman" w:eastAsia="宋体" w:cs="Times New Roman"/>
      <w:vertAlign w:val="superscript"/>
    </w:rPr>
  </w:style>
  <w:style w:type="paragraph" w:customStyle="1" w:styleId="39">
    <w:name w:val="封面标准文稿类别"/>
    <w:basedOn w:val="40"/>
    <w:qFormat/>
    <w:uiPriority w:val="0"/>
    <w:pPr>
      <w:spacing w:after="160" w:line="240" w:lineRule="auto"/>
    </w:pPr>
    <w:rPr>
      <w:sz w:val="24"/>
    </w:rPr>
  </w:style>
  <w:style w:type="paragraph" w:customStyle="1" w:styleId="40">
    <w:name w:val="封面一致性程度标识"/>
    <w:basedOn w:val="41"/>
    <w:qFormat/>
    <w:uiPriority w:val="0"/>
    <w:pPr>
      <w:spacing w:before="440"/>
    </w:pPr>
    <w:rPr>
      <w:rFonts w:ascii="宋体" w:eastAsia="宋体"/>
    </w:rPr>
  </w:style>
  <w:style w:type="paragraph" w:customStyle="1" w:styleId="41">
    <w:name w:val="封面标准英文名称"/>
    <w:basedOn w:val="42"/>
    <w:qFormat/>
    <w:uiPriority w:val="0"/>
    <w:pPr>
      <w:spacing w:before="370" w:line="400" w:lineRule="exact"/>
    </w:pPr>
    <w:rPr>
      <w:rFonts w:ascii="Times New Roman"/>
      <w:sz w:val="28"/>
      <w:szCs w:val="28"/>
    </w:rPr>
  </w:style>
  <w:style w:type="paragraph" w:customStyle="1" w:styleId="4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3">
    <w:name w:val="一级条标题"/>
    <w:next w:val="23"/>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5">
    <w:name w:val="四级条标题"/>
    <w:basedOn w:val="46"/>
    <w:next w:val="23"/>
    <w:qFormat/>
    <w:uiPriority w:val="0"/>
    <w:pPr>
      <w:numPr>
        <w:ilvl w:val="4"/>
        <w:numId w:val="2"/>
      </w:numPr>
      <w:outlineLvl w:val="5"/>
    </w:pPr>
  </w:style>
  <w:style w:type="paragraph" w:customStyle="1" w:styleId="46">
    <w:name w:val="三级条标题"/>
    <w:basedOn w:val="47"/>
    <w:next w:val="23"/>
    <w:qFormat/>
    <w:uiPriority w:val="0"/>
    <w:pPr>
      <w:numPr>
        <w:ilvl w:val="0"/>
        <w:numId w:val="0"/>
      </w:numPr>
      <w:outlineLvl w:val="4"/>
    </w:pPr>
  </w:style>
  <w:style w:type="paragraph" w:customStyle="1" w:styleId="47">
    <w:name w:val="二级条标题"/>
    <w:basedOn w:val="43"/>
    <w:next w:val="23"/>
    <w:qFormat/>
    <w:uiPriority w:val="0"/>
    <w:pPr>
      <w:numPr>
        <w:ilvl w:val="2"/>
        <w:numId w:val="2"/>
      </w:numPr>
      <w:spacing w:before="50" w:after="50"/>
      <w:outlineLvl w:val="3"/>
    </w:pPr>
  </w:style>
  <w:style w:type="paragraph" w:customStyle="1" w:styleId="48">
    <w:name w:val="注："/>
    <w:next w:val="23"/>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49">
    <w:name w:val="附录三级条标题"/>
    <w:basedOn w:val="50"/>
    <w:next w:val="23"/>
    <w:qFormat/>
    <w:uiPriority w:val="0"/>
    <w:pPr>
      <w:numPr>
        <w:ilvl w:val="4"/>
        <w:numId w:val="4"/>
      </w:numPr>
      <w:tabs>
        <w:tab w:val="left" w:pos="360"/>
      </w:tabs>
      <w:outlineLvl w:val="4"/>
    </w:pPr>
  </w:style>
  <w:style w:type="paragraph" w:customStyle="1" w:styleId="50">
    <w:name w:val="附录二级条标题"/>
    <w:basedOn w:val="1"/>
    <w:next w:val="23"/>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1">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4">
    <w:name w:val="三级无"/>
    <w:basedOn w:val="46"/>
    <w:qFormat/>
    <w:uiPriority w:val="0"/>
    <w:pPr>
      <w:spacing w:before="0" w:beforeLines="0" w:after="0" w:afterLines="0"/>
    </w:pPr>
    <w:rPr>
      <w:rFonts w:ascii="宋体" w:eastAsia="宋体"/>
    </w:rPr>
  </w:style>
  <w:style w:type="paragraph" w:customStyle="1" w:styleId="55">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6">
    <w:name w:val="附录二级无"/>
    <w:basedOn w:val="50"/>
    <w:qFormat/>
    <w:uiPriority w:val="0"/>
    <w:pPr>
      <w:tabs>
        <w:tab w:val="clear" w:pos="360"/>
      </w:tabs>
      <w:spacing w:before="0" w:beforeLines="0" w:after="0" w:afterLines="0"/>
    </w:pPr>
    <w:rPr>
      <w:rFonts w:ascii="宋体" w:eastAsia="宋体"/>
      <w:szCs w:val="21"/>
    </w:rPr>
  </w:style>
  <w:style w:type="paragraph" w:customStyle="1" w:styleId="57">
    <w:name w:val="正文公式编号制表符"/>
    <w:basedOn w:val="23"/>
    <w:next w:val="23"/>
    <w:qFormat/>
    <w:uiPriority w:val="0"/>
    <w:pPr>
      <w:ind w:firstLine="0" w:firstLineChars="0"/>
    </w:pPr>
  </w:style>
  <w:style w:type="paragraph" w:customStyle="1" w:styleId="58">
    <w:name w:val="附录四级无"/>
    <w:basedOn w:val="59"/>
    <w:qFormat/>
    <w:uiPriority w:val="0"/>
    <w:pPr>
      <w:tabs>
        <w:tab w:val="left" w:pos="360"/>
      </w:tabs>
      <w:spacing w:before="0" w:beforeLines="0" w:after="0" w:afterLines="0"/>
    </w:pPr>
    <w:rPr>
      <w:rFonts w:ascii="宋体" w:eastAsia="宋体"/>
      <w:szCs w:val="21"/>
    </w:rPr>
  </w:style>
  <w:style w:type="paragraph" w:customStyle="1" w:styleId="59">
    <w:name w:val="附录四级条标题"/>
    <w:basedOn w:val="49"/>
    <w:next w:val="23"/>
    <w:qFormat/>
    <w:uiPriority w:val="0"/>
    <w:pPr>
      <w:numPr>
        <w:ilvl w:val="5"/>
        <w:numId w:val="4"/>
      </w:numPr>
      <w:outlineLvl w:val="5"/>
    </w:pPr>
  </w:style>
  <w:style w:type="paragraph" w:customStyle="1" w:styleId="60">
    <w:name w:val="编号列项（三级）"/>
    <w:qFormat/>
    <w:uiPriority w:val="0"/>
    <w:rPr>
      <w:rFonts w:ascii="宋体" w:hAnsi="Times New Roman" w:eastAsia="宋体" w:cs="Times New Roman"/>
      <w:sz w:val="21"/>
      <w:lang w:val="en-US" w:eastAsia="zh-CN" w:bidi="ar-SA"/>
    </w:rPr>
  </w:style>
  <w:style w:type="paragraph" w:customStyle="1" w:styleId="61">
    <w:name w:val="二级无"/>
    <w:basedOn w:val="47"/>
    <w:qFormat/>
    <w:uiPriority w:val="0"/>
    <w:pPr>
      <w:spacing w:before="0" w:beforeLines="0" w:after="0" w:afterLines="0"/>
      <w:ind w:left="0" w:firstLine="0"/>
    </w:pPr>
    <w:rPr>
      <w:rFonts w:ascii="宋体" w:eastAsia="宋体"/>
    </w:rPr>
  </w:style>
  <w:style w:type="paragraph" w:customStyle="1" w:styleId="6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4">
    <w:name w:val="示例×："/>
    <w:basedOn w:val="65"/>
    <w:qFormat/>
    <w:uiPriority w:val="0"/>
    <w:pPr>
      <w:numPr>
        <w:ilvl w:val="0"/>
        <w:numId w:val="5"/>
      </w:numPr>
      <w:spacing w:before="0" w:beforeLines="0" w:after="0" w:afterLines="0"/>
      <w:outlineLvl w:val="9"/>
    </w:pPr>
    <w:rPr>
      <w:rFonts w:ascii="宋体" w:eastAsia="宋体"/>
      <w:sz w:val="18"/>
      <w:szCs w:val="18"/>
    </w:rPr>
  </w:style>
  <w:style w:type="paragraph" w:customStyle="1" w:styleId="65">
    <w:name w:val="章标题"/>
    <w:next w:val="23"/>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9">
    <w:name w:val="附录五级无"/>
    <w:basedOn w:val="70"/>
    <w:qFormat/>
    <w:uiPriority w:val="0"/>
    <w:pPr>
      <w:tabs>
        <w:tab w:val="left" w:pos="360"/>
      </w:tabs>
      <w:spacing w:before="0" w:beforeLines="0" w:after="0" w:afterLines="0"/>
    </w:pPr>
    <w:rPr>
      <w:rFonts w:ascii="宋体" w:eastAsia="宋体"/>
      <w:szCs w:val="21"/>
    </w:rPr>
  </w:style>
  <w:style w:type="paragraph" w:customStyle="1" w:styleId="70">
    <w:name w:val="附录五级条标题"/>
    <w:basedOn w:val="59"/>
    <w:next w:val="23"/>
    <w:qFormat/>
    <w:uiPriority w:val="0"/>
    <w:pPr>
      <w:numPr>
        <w:ilvl w:val="6"/>
        <w:numId w:val="4"/>
      </w:numPr>
      <w:outlineLvl w:val="6"/>
    </w:pPr>
  </w:style>
  <w:style w:type="paragraph" w:customStyle="1" w:styleId="71">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73">
    <w:name w:val="附录一级条标题"/>
    <w:basedOn w:val="74"/>
    <w:next w:val="23"/>
    <w:qFormat/>
    <w:uiPriority w:val="0"/>
    <w:pPr>
      <w:numPr>
        <w:ilvl w:val="2"/>
        <w:numId w:val="4"/>
      </w:numPr>
      <w:tabs>
        <w:tab w:val="left" w:pos="360"/>
      </w:tabs>
      <w:autoSpaceDN w:val="0"/>
      <w:spacing w:before="50" w:beforeLines="50" w:after="50" w:afterLines="50"/>
      <w:outlineLvl w:val="2"/>
    </w:pPr>
  </w:style>
  <w:style w:type="paragraph" w:customStyle="1" w:styleId="74">
    <w:name w:val="附录章标题"/>
    <w:next w:val="23"/>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7">
    <w:name w:val="示例"/>
    <w:next w:val="78"/>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7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9">
    <w:name w:val="其他标准标志"/>
    <w:basedOn w:val="67"/>
    <w:qFormat/>
    <w:uiPriority w:val="0"/>
    <w:pPr>
      <w:framePr w:w="6101" w:vAnchor="page" w:hAnchor="page" w:x="4673" w:y="942"/>
    </w:pPr>
    <w:rPr>
      <w:w w:val="130"/>
    </w:rPr>
  </w:style>
  <w:style w:type="paragraph" w:customStyle="1" w:styleId="80">
    <w:name w:val="附录三级无"/>
    <w:basedOn w:val="49"/>
    <w:qFormat/>
    <w:uiPriority w:val="0"/>
    <w:pPr>
      <w:tabs>
        <w:tab w:val="clear" w:pos="360"/>
      </w:tabs>
      <w:spacing w:before="0" w:beforeLines="0" w:after="0" w:afterLines="0"/>
    </w:pPr>
    <w:rPr>
      <w:rFonts w:ascii="宋体" w:eastAsia="宋体"/>
      <w:szCs w:val="21"/>
    </w:rPr>
  </w:style>
  <w:style w:type="paragraph" w:customStyle="1" w:styleId="81">
    <w:name w:val="附录表标号"/>
    <w:basedOn w:val="1"/>
    <w:next w:val="23"/>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2">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83">
    <w:name w:val="数字编号列项（二级）"/>
    <w:qFormat/>
    <w:uiPriority w:val="0"/>
    <w:pPr>
      <w:numPr>
        <w:ilvl w:val="1"/>
        <w:numId w:val="9"/>
      </w:numPr>
      <w:jc w:val="both"/>
    </w:pPr>
    <w:rPr>
      <w:rFonts w:ascii="宋体" w:hAnsi="Times New Roman" w:eastAsia="宋体" w:cs="Times New Roman"/>
      <w:sz w:val="21"/>
      <w:lang w:val="en-US" w:eastAsia="zh-CN" w:bidi="ar-SA"/>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86">
    <w:name w:val="标准书眉_偶数页"/>
    <w:basedOn w:val="68"/>
    <w:next w:val="1"/>
    <w:qFormat/>
    <w:uiPriority w:val="0"/>
    <w:pPr>
      <w:jc w:val="left"/>
    </w:pPr>
    <w:rPr>
      <w:rFonts w:ascii="黑体" w:eastAsia="黑体"/>
    </w:rPr>
  </w:style>
  <w:style w:type="paragraph" w:customStyle="1" w:styleId="8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8">
    <w:name w:val="五级条标题"/>
    <w:basedOn w:val="45"/>
    <w:next w:val="23"/>
    <w:qFormat/>
    <w:uiPriority w:val="0"/>
    <w:pPr>
      <w:numPr>
        <w:ilvl w:val="5"/>
        <w:numId w:val="2"/>
      </w:numPr>
      <w:outlineLvl w:val="6"/>
    </w:pPr>
  </w:style>
  <w:style w:type="paragraph" w:customStyle="1" w:styleId="89">
    <w:name w:val="附录图标号"/>
    <w:basedOn w:val="1"/>
    <w:qFormat/>
    <w:uiPriority w:val="0"/>
    <w:pPr>
      <w:keepNext/>
      <w:pageBreakBefore/>
      <w:widowControl/>
      <w:numPr>
        <w:ilvl w:val="0"/>
        <w:numId w:val="11"/>
      </w:numPr>
      <w:spacing w:line="14" w:lineRule="exact"/>
      <w:ind w:left="0" w:firstLine="363"/>
      <w:jc w:val="center"/>
      <w:outlineLvl w:val="0"/>
    </w:pPr>
    <w:rPr>
      <w:color w:val="FFFFFF"/>
    </w:rPr>
  </w:style>
  <w:style w:type="paragraph" w:customStyle="1" w:styleId="90">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1">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92">
    <w:name w:val="附录公式"/>
    <w:basedOn w:val="23"/>
    <w:next w:val="23"/>
    <w:link w:val="132"/>
    <w:qFormat/>
    <w:uiPriority w:val="0"/>
  </w:style>
  <w:style w:type="paragraph" w:customStyle="1" w:styleId="9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4">
    <w:name w:val="标准书眉一"/>
    <w:qFormat/>
    <w:uiPriority w:val="0"/>
    <w:pPr>
      <w:jc w:val="both"/>
    </w:pPr>
    <w:rPr>
      <w:rFonts w:ascii="Times New Roman" w:hAnsi="Times New Roman" w:eastAsia="宋体" w:cs="Times New Roman"/>
      <w:lang w:val="en-US" w:eastAsia="zh-CN" w:bidi="ar-SA"/>
    </w:rPr>
  </w:style>
  <w:style w:type="paragraph" w:customStyle="1" w:styleId="9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6">
    <w:name w:val="附录标识"/>
    <w:basedOn w:val="1"/>
    <w:next w:val="23"/>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7">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8">
    <w:name w:val="附录图标题"/>
    <w:basedOn w:val="1"/>
    <w:next w:val="23"/>
    <w:qFormat/>
    <w:uiPriority w:val="0"/>
    <w:pPr>
      <w:numPr>
        <w:ilvl w:val="1"/>
        <w:numId w:val="11"/>
      </w:numPr>
      <w:tabs>
        <w:tab w:val="left" w:pos="363"/>
      </w:tabs>
      <w:spacing w:before="50" w:beforeLines="50" w:after="50" w:afterLines="50"/>
      <w:ind w:left="0" w:firstLine="0"/>
      <w:jc w:val="center"/>
    </w:pPr>
    <w:rPr>
      <w:rFonts w:ascii="黑体" w:eastAsia="黑体"/>
      <w:szCs w:val="21"/>
    </w:rPr>
  </w:style>
  <w:style w:type="paragraph" w:customStyle="1" w:styleId="99">
    <w:name w:val="注：（正文）"/>
    <w:basedOn w:val="48"/>
    <w:next w:val="23"/>
    <w:qFormat/>
    <w:uiPriority w:val="0"/>
    <w:pPr>
      <w:numPr>
        <w:ilvl w:val="0"/>
        <w:numId w:val="13"/>
      </w:numPr>
    </w:pPr>
  </w:style>
  <w:style w:type="paragraph" w:customStyle="1" w:styleId="100">
    <w:name w:val="附录标题"/>
    <w:basedOn w:val="23"/>
    <w:next w:val="23"/>
    <w:qFormat/>
    <w:uiPriority w:val="0"/>
    <w:pPr>
      <w:ind w:firstLine="0" w:firstLineChars="0"/>
      <w:jc w:val="center"/>
    </w:pPr>
    <w:rPr>
      <w:rFonts w:ascii="黑体" w:eastAsia="黑体"/>
    </w:rPr>
  </w:style>
  <w:style w:type="paragraph" w:customStyle="1" w:styleId="101">
    <w:name w:val="附录表标题"/>
    <w:basedOn w:val="1"/>
    <w:next w:val="23"/>
    <w:qFormat/>
    <w:uiPriority w:val="0"/>
    <w:pPr>
      <w:numPr>
        <w:ilvl w:val="1"/>
        <w:numId w:val="7"/>
      </w:numPr>
      <w:tabs>
        <w:tab w:val="left" w:pos="180"/>
      </w:tabs>
      <w:spacing w:before="50" w:beforeLines="50" w:after="50" w:afterLines="50"/>
      <w:ind w:left="0" w:firstLine="0"/>
      <w:jc w:val="center"/>
    </w:pPr>
    <w:rPr>
      <w:rFonts w:ascii="黑体" w:eastAsia="黑体"/>
      <w:szCs w:val="21"/>
    </w:rPr>
  </w:style>
  <w:style w:type="paragraph" w:customStyle="1" w:styleId="10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3">
    <w:name w:val="列项◆（三级）"/>
    <w:basedOn w:val="1"/>
    <w:qFormat/>
    <w:uiPriority w:val="0"/>
    <w:pPr>
      <w:numPr>
        <w:ilvl w:val="2"/>
        <w:numId w:val="10"/>
      </w:numPr>
    </w:pPr>
    <w:rPr>
      <w:rFonts w:ascii="宋体"/>
      <w:szCs w:val="21"/>
    </w:rPr>
  </w:style>
  <w:style w:type="paragraph" w:customStyle="1" w:styleId="104">
    <w:name w:val="附录一级无"/>
    <w:basedOn w:val="73"/>
    <w:qFormat/>
    <w:uiPriority w:val="0"/>
    <w:pPr>
      <w:tabs>
        <w:tab w:val="clear" w:pos="360"/>
      </w:tabs>
      <w:spacing w:before="0" w:beforeLines="0" w:after="0" w:afterLines="0"/>
    </w:pPr>
    <w:rPr>
      <w:rFonts w:ascii="宋体" w:eastAsia="宋体"/>
      <w:szCs w:val="21"/>
    </w:rPr>
  </w:style>
  <w:style w:type="paragraph" w:customStyle="1" w:styleId="105">
    <w:name w:val="注×："/>
    <w:qFormat/>
    <w:uiPriority w:val="0"/>
    <w:pPr>
      <w:widowControl w:val="0"/>
      <w:numPr>
        <w:ilvl w:val="0"/>
        <w:numId w:val="14"/>
      </w:numPr>
      <w:autoSpaceDE w:val="0"/>
      <w:autoSpaceDN w:val="0"/>
      <w:jc w:val="both"/>
    </w:pPr>
    <w:rPr>
      <w:rFonts w:ascii="宋体" w:hAnsi="Times New Roman" w:eastAsia="宋体" w:cs="Times New Roman"/>
      <w:sz w:val="18"/>
      <w:szCs w:val="18"/>
      <w:lang w:val="en-US" w:eastAsia="zh-CN" w:bidi="ar-SA"/>
    </w:rPr>
  </w:style>
  <w:style w:type="paragraph" w:customStyle="1" w:styleId="106">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0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封面标准文稿编辑信息"/>
    <w:basedOn w:val="39"/>
    <w:qFormat/>
    <w:uiPriority w:val="0"/>
    <w:pPr>
      <w:spacing w:before="180" w:line="180" w:lineRule="exact"/>
    </w:pPr>
    <w:rPr>
      <w:sz w:val="21"/>
    </w:rPr>
  </w:style>
  <w:style w:type="paragraph" w:customStyle="1" w:styleId="109">
    <w:name w:val="其他发布部门"/>
    <w:basedOn w:val="51"/>
    <w:qFormat/>
    <w:uiPriority w:val="0"/>
    <w:pPr>
      <w:framePr w:y="15310"/>
      <w:spacing w:line="0" w:lineRule="atLeast"/>
    </w:pPr>
    <w:rPr>
      <w:rFonts w:ascii="黑体" w:eastAsia="黑体"/>
      <w:b w:val="0"/>
    </w:rPr>
  </w:style>
  <w:style w:type="paragraph" w:customStyle="1" w:styleId="110">
    <w:name w:val="实施日期"/>
    <w:basedOn w:val="66"/>
    <w:qFormat/>
    <w:uiPriority w:val="0"/>
    <w:pPr>
      <w:framePr w:vAnchor="page" w:hAnchor="page"/>
      <w:jc w:val="right"/>
    </w:pPr>
  </w:style>
  <w:style w:type="paragraph" w:customStyle="1" w:styleId="111">
    <w:name w:val="封面标准文稿类别2"/>
    <w:basedOn w:val="39"/>
    <w:qFormat/>
    <w:uiPriority w:val="0"/>
    <w:pPr>
      <w:framePr w:y="4469"/>
    </w:pPr>
  </w:style>
  <w:style w:type="paragraph" w:customStyle="1" w:styleId="112">
    <w:name w:val="示例后文字"/>
    <w:basedOn w:val="23"/>
    <w:next w:val="23"/>
    <w:qFormat/>
    <w:uiPriority w:val="0"/>
    <w:pPr>
      <w:ind w:firstLine="360"/>
    </w:pPr>
    <w:rPr>
      <w:sz w:val="18"/>
    </w:rPr>
  </w:style>
  <w:style w:type="paragraph" w:customStyle="1" w:styleId="113">
    <w:name w:val="首示例"/>
    <w:next w:val="23"/>
    <w:link w:val="134"/>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paragraph" w:customStyle="1" w:styleId="114">
    <w:name w:val="四级无"/>
    <w:basedOn w:val="45"/>
    <w:qFormat/>
    <w:uiPriority w:val="0"/>
    <w:pPr>
      <w:spacing w:before="0" w:beforeLines="0" w:after="0" w:afterLines="0"/>
    </w:pPr>
    <w:rPr>
      <w:rFonts w:ascii="宋体" w:eastAsia="宋体"/>
    </w:rPr>
  </w:style>
  <w:style w:type="paragraph" w:customStyle="1" w:styleId="115">
    <w:name w:val="条文脚注"/>
    <w:basedOn w:val="24"/>
    <w:qFormat/>
    <w:uiPriority w:val="0"/>
    <w:pPr>
      <w:numPr>
        <w:ilvl w:val="0"/>
        <w:numId w:val="0"/>
      </w:numPr>
      <w:jc w:val="both"/>
    </w:pPr>
    <w:rPr>
      <w:rFonts w:ascii="宋体"/>
    </w:rPr>
  </w:style>
  <w:style w:type="paragraph" w:customStyle="1" w:styleId="116">
    <w:name w:val="图标脚注说明"/>
    <w:basedOn w:val="23"/>
    <w:qFormat/>
    <w:uiPriority w:val="0"/>
    <w:pPr>
      <w:ind w:left="840" w:hanging="420" w:firstLineChars="0"/>
    </w:pPr>
    <w:rPr>
      <w:sz w:val="18"/>
      <w:szCs w:val="18"/>
    </w:rPr>
  </w:style>
  <w:style w:type="paragraph" w:customStyle="1" w:styleId="117">
    <w:name w:val="图表脚注说明"/>
    <w:basedOn w:val="1"/>
    <w:qFormat/>
    <w:uiPriority w:val="0"/>
    <w:pPr>
      <w:numPr>
        <w:ilvl w:val="0"/>
        <w:numId w:val="16"/>
      </w:numPr>
    </w:pPr>
    <w:rPr>
      <w:rFonts w:ascii="宋体"/>
      <w:sz w:val="18"/>
      <w:szCs w:val="18"/>
    </w:rPr>
  </w:style>
  <w:style w:type="paragraph" w:customStyle="1" w:styleId="118">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封面标准英文名称2"/>
    <w:basedOn w:val="41"/>
    <w:qFormat/>
    <w:uiPriority w:val="0"/>
    <w:pPr>
      <w:framePr w:y="4469"/>
    </w:pPr>
  </w:style>
  <w:style w:type="paragraph" w:customStyle="1" w:styleId="121">
    <w:name w:val="五级无"/>
    <w:basedOn w:val="88"/>
    <w:qFormat/>
    <w:uiPriority w:val="0"/>
    <w:pPr>
      <w:spacing w:before="0" w:beforeLines="0" w:after="0" w:afterLines="0"/>
    </w:pPr>
    <w:rPr>
      <w:rFonts w:ascii="宋体" w:eastAsia="宋体"/>
    </w:rPr>
  </w:style>
  <w:style w:type="paragraph" w:customStyle="1" w:styleId="122">
    <w:name w:val="一级无"/>
    <w:basedOn w:val="43"/>
    <w:qFormat/>
    <w:uiPriority w:val="0"/>
    <w:pPr>
      <w:spacing w:before="0" w:beforeLines="0" w:after="0" w:afterLines="0"/>
    </w:pPr>
    <w:rPr>
      <w:rFonts w:ascii="宋体" w:eastAsia="宋体"/>
    </w:rPr>
  </w:style>
  <w:style w:type="paragraph" w:customStyle="1" w:styleId="123">
    <w:name w:val="正文表标题"/>
    <w:next w:val="23"/>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4">
    <w:name w:val="正文图标题"/>
    <w:next w:val="23"/>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66"/>
    <w:qFormat/>
    <w:uiPriority w:val="0"/>
    <w:pPr>
      <w:framePr w:vAnchor="page" w:hAnchor="page" w:x="1419"/>
    </w:pPr>
  </w:style>
  <w:style w:type="paragraph" w:customStyle="1" w:styleId="127">
    <w:name w:val="其他实施日期"/>
    <w:basedOn w:val="110"/>
    <w:qFormat/>
    <w:uiPriority w:val="0"/>
  </w:style>
  <w:style w:type="paragraph" w:customStyle="1" w:styleId="128">
    <w:name w:val="封面标准名称2"/>
    <w:basedOn w:val="42"/>
    <w:qFormat/>
    <w:uiPriority w:val="0"/>
    <w:pPr>
      <w:framePr w:y="4469"/>
      <w:spacing w:before="630" w:beforeLines="630"/>
    </w:pPr>
  </w:style>
  <w:style w:type="paragraph" w:customStyle="1" w:styleId="129">
    <w:name w:val="封面一致性程度标识2"/>
    <w:basedOn w:val="40"/>
    <w:qFormat/>
    <w:uiPriority w:val="0"/>
    <w:pPr>
      <w:framePr w:y="4469"/>
    </w:pPr>
  </w:style>
  <w:style w:type="paragraph" w:customStyle="1" w:styleId="130">
    <w:name w:val="封面标准文稿编辑信息2"/>
    <w:basedOn w:val="108"/>
    <w:qFormat/>
    <w:uiPriority w:val="0"/>
    <w:pPr>
      <w:framePr w:y="4469"/>
    </w:pPr>
  </w:style>
  <w:style w:type="character" w:customStyle="1" w:styleId="131">
    <w:name w:val="段 Char"/>
    <w:link w:val="23"/>
    <w:qFormat/>
    <w:uiPriority w:val="0"/>
    <w:rPr>
      <w:rFonts w:ascii="宋体" w:hAnsi="Times New Roman" w:eastAsia="宋体" w:cs="Times New Roman"/>
      <w:sz w:val="21"/>
      <w:lang w:val="en-US" w:eastAsia="zh-CN" w:bidi="ar-SA"/>
    </w:rPr>
  </w:style>
  <w:style w:type="character" w:customStyle="1" w:styleId="132">
    <w:name w:val="附录公式 Char"/>
    <w:basedOn w:val="131"/>
    <w:link w:val="92"/>
    <w:qFormat/>
    <w:uiPriority w:val="0"/>
  </w:style>
  <w:style w:type="character" w:customStyle="1" w:styleId="133">
    <w:name w:val="发布"/>
    <w:qFormat/>
    <w:uiPriority w:val="0"/>
    <w:rPr>
      <w:rFonts w:ascii="黑体" w:hAnsi="Times New Roman" w:eastAsia="黑体" w:cs="Times New Roman"/>
      <w:spacing w:val="85"/>
      <w:w w:val="100"/>
      <w:position w:val="3"/>
      <w:sz w:val="28"/>
      <w:szCs w:val="28"/>
    </w:rPr>
  </w:style>
  <w:style w:type="character" w:customStyle="1" w:styleId="134">
    <w:name w:val="首示例 Char"/>
    <w:link w:val="113"/>
    <w:qFormat/>
    <w:uiPriority w:val="0"/>
    <w:rPr>
      <w:rFonts w:ascii="宋体" w:hAnsi="宋体"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2021-03-18T06:54:00Z</dcterms:created>
  <dc:creator>Administrator</dc:creator>
  <cp:lastModifiedBy>刘洋</cp:lastModifiedBy>
  <dcterms:modified xsi:type="dcterms:W3CDTF">2021-06-15T09:11:05Z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61B9B2B267E94447A468E14E09FEAAB1</vt:lpwstr>
  </property>
</Properties>
</file>